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1AD1F1" w14:textId="77777777" w:rsidR="00D81082" w:rsidRPr="00AA6743" w:rsidRDefault="00D81082" w:rsidP="00F952F7">
      <w:pPr>
        <w:spacing w:after="100" w:afterAutospacing="1" w:line="240" w:lineRule="auto"/>
        <w:ind w:left="57" w:right="57"/>
        <w:jc w:val="center"/>
        <w:rPr>
          <w:rFonts w:cs="Times New Roman"/>
          <w:b/>
          <w:bCs/>
          <w:sz w:val="22"/>
          <w:szCs w:val="22"/>
        </w:rPr>
      </w:pPr>
      <w:r w:rsidRPr="00AA6743">
        <w:rPr>
          <w:rFonts w:cs="Times New Roman"/>
          <w:b/>
          <w:bCs/>
          <w:sz w:val="22"/>
          <w:szCs w:val="22"/>
        </w:rPr>
        <w:t>Training materials for seminars</w:t>
      </w:r>
    </w:p>
    <w:p w14:paraId="6EF4CA76" w14:textId="77777777" w:rsidR="00D81082" w:rsidRPr="00AA6743" w:rsidRDefault="00D81082" w:rsidP="00F952F7">
      <w:pPr>
        <w:spacing w:after="100" w:afterAutospacing="1" w:line="240" w:lineRule="auto"/>
        <w:ind w:left="57" w:right="57"/>
        <w:jc w:val="center"/>
        <w:rPr>
          <w:rFonts w:cs="Times New Roman"/>
          <w:sz w:val="22"/>
          <w:szCs w:val="22"/>
        </w:rPr>
      </w:pPr>
      <w:r w:rsidRPr="00AA6743">
        <w:rPr>
          <w:rFonts w:cs="Times New Roman"/>
          <w:sz w:val="22"/>
          <w:szCs w:val="22"/>
        </w:rPr>
        <w:t>Discipline “Safety of GMO and organic products</w:t>
      </w:r>
    </w:p>
    <w:p w14:paraId="102CA1CF" w14:textId="62007E54" w:rsidR="00A76416" w:rsidRPr="00A76416" w:rsidRDefault="00D81082" w:rsidP="00F952F7">
      <w:pPr>
        <w:spacing w:after="100" w:afterAutospacing="1" w:line="240" w:lineRule="auto"/>
        <w:ind w:left="57" w:right="57"/>
        <w:rPr>
          <w:rFonts w:cs="Times New Roman"/>
          <w:b/>
          <w:sz w:val="22"/>
          <w:szCs w:val="22"/>
        </w:rPr>
      </w:pPr>
      <w:r w:rsidRPr="00AA6743">
        <w:rPr>
          <w:rFonts w:cs="Times New Roman"/>
          <w:b/>
          <w:sz w:val="22"/>
          <w:szCs w:val="22"/>
        </w:rPr>
        <w:t xml:space="preserve">Lab. work 1 </w:t>
      </w:r>
      <w:r w:rsidR="00A76416" w:rsidRPr="00A76416">
        <w:rPr>
          <w:rFonts w:cs="Times New Roman"/>
          <w:bCs/>
          <w:sz w:val="22"/>
          <w:szCs w:val="22"/>
        </w:rPr>
        <w:t xml:space="preserve"> The </w:t>
      </w:r>
      <w:r w:rsidR="00A76416" w:rsidRPr="00A76416">
        <w:rPr>
          <w:rFonts w:eastAsia="TimesNewRomanPSMT" w:cs="Times New Roman"/>
          <w:sz w:val="22"/>
          <w:szCs w:val="22"/>
        </w:rPr>
        <w:t xml:space="preserve"> </w:t>
      </w:r>
      <w:r w:rsidR="00A76416" w:rsidRPr="00A76416">
        <w:rPr>
          <w:rFonts w:cs="Times New Roman"/>
          <w:bCs/>
          <w:sz w:val="22"/>
          <w:szCs w:val="22"/>
          <w:lang w:eastAsia="ar-SA"/>
        </w:rPr>
        <w:t>molecular</w:t>
      </w:r>
      <w:r w:rsidR="00A76416" w:rsidRPr="00A76416">
        <w:rPr>
          <w:rFonts w:eastAsia="TimesNewRomanPSMT" w:cs="Times New Roman"/>
          <w:sz w:val="22"/>
          <w:szCs w:val="22"/>
        </w:rPr>
        <w:t xml:space="preserve"> </w:t>
      </w:r>
      <w:r w:rsidR="00A76416" w:rsidRPr="00A76416">
        <w:rPr>
          <w:rFonts w:cs="Times New Roman"/>
          <w:bCs/>
          <w:sz w:val="22"/>
          <w:szCs w:val="22"/>
          <w:lang w:eastAsia="ar-SA"/>
        </w:rPr>
        <w:t>biotechnology used for n creation GMOs.</w:t>
      </w:r>
    </w:p>
    <w:p w14:paraId="1B4829FD" w14:textId="77777777" w:rsidR="00A76416" w:rsidRPr="00A76416" w:rsidRDefault="00A76416" w:rsidP="00F952F7">
      <w:pPr>
        <w:spacing w:after="100" w:afterAutospacing="1" w:line="240" w:lineRule="auto"/>
        <w:ind w:left="57" w:right="57"/>
        <w:rPr>
          <w:rFonts w:cs="Times New Roman"/>
          <w:bCs/>
          <w:sz w:val="22"/>
          <w:szCs w:val="22"/>
        </w:rPr>
      </w:pPr>
      <w:r w:rsidRPr="00A76416">
        <w:rPr>
          <w:rFonts w:cs="Times New Roman"/>
          <w:sz w:val="22"/>
          <w:szCs w:val="22"/>
        </w:rPr>
        <w:t xml:space="preserve"> M</w:t>
      </w:r>
      <w:r w:rsidRPr="00A76416">
        <w:rPr>
          <w:rFonts w:cs="Times New Roman"/>
          <w:sz w:val="22"/>
          <w:szCs w:val="22"/>
          <w:lang w:val="en"/>
        </w:rPr>
        <w:t xml:space="preserve">ain approaches and methods of </w:t>
      </w:r>
      <w:r w:rsidRPr="00A76416">
        <w:rPr>
          <w:rFonts w:cs="Times New Roman"/>
          <w:bCs/>
          <w:sz w:val="22"/>
          <w:szCs w:val="22"/>
        </w:rPr>
        <w:t>molecular biotechnology</w:t>
      </w:r>
    </w:p>
    <w:p w14:paraId="3A7F93B2" w14:textId="77777777" w:rsidR="00A76416" w:rsidRPr="00A76416" w:rsidRDefault="00A76416" w:rsidP="00F952F7">
      <w:pPr>
        <w:spacing w:after="100" w:afterAutospacing="1" w:line="240" w:lineRule="auto"/>
        <w:ind w:left="57" w:right="57"/>
        <w:rPr>
          <w:rFonts w:cs="Times New Roman"/>
          <w:bCs/>
          <w:sz w:val="22"/>
          <w:szCs w:val="22"/>
        </w:rPr>
      </w:pPr>
      <w:r w:rsidRPr="00A76416">
        <w:rPr>
          <w:rFonts w:cs="Times New Roman"/>
          <w:bCs/>
          <w:sz w:val="22"/>
          <w:szCs w:val="22"/>
        </w:rPr>
        <w:t>Whole blood samples are one of the main sources used to obtain DNA, and there are many different protocols available to perform nucleic acid extraction on such samples. These methods vary from very basic manual protocols to more sophisticated methods included in automated DNA extraction protocols.</w:t>
      </w:r>
    </w:p>
    <w:p w14:paraId="4B51E3C3" w14:textId="77777777" w:rsidR="00A76416" w:rsidRPr="00A76416" w:rsidRDefault="00A76416" w:rsidP="00F952F7">
      <w:pPr>
        <w:spacing w:after="100" w:afterAutospacing="1" w:line="240" w:lineRule="auto"/>
        <w:ind w:left="57" w:right="57"/>
        <w:rPr>
          <w:rFonts w:cs="Times New Roman"/>
          <w:sz w:val="22"/>
          <w:szCs w:val="22"/>
        </w:rPr>
      </w:pPr>
      <w:r w:rsidRPr="00A76416">
        <w:rPr>
          <w:rFonts w:cs="Times New Roman"/>
          <w:sz w:val="22"/>
          <w:szCs w:val="22"/>
        </w:rPr>
        <w:t>Solution-based DNA extraction methods using organic solvents</w:t>
      </w:r>
    </w:p>
    <w:p w14:paraId="1F9B905A" w14:textId="77777777" w:rsidR="00A76416" w:rsidRPr="00A76416" w:rsidRDefault="00A76416" w:rsidP="00F952F7">
      <w:pPr>
        <w:spacing w:after="100" w:afterAutospacing="1" w:line="240" w:lineRule="auto"/>
        <w:ind w:left="57" w:right="57"/>
        <w:rPr>
          <w:rFonts w:cs="Times New Roman"/>
          <w:sz w:val="22"/>
          <w:szCs w:val="22"/>
        </w:rPr>
      </w:pPr>
      <w:r w:rsidRPr="00A76416">
        <w:rPr>
          <w:rFonts w:cs="Times New Roman"/>
          <w:sz w:val="22"/>
          <w:szCs w:val="22"/>
        </w:rPr>
        <w:t>Solution-based DNA extraction methods using salting out</w:t>
      </w:r>
    </w:p>
    <w:p w14:paraId="2DFD7E60" w14:textId="77777777" w:rsidR="00A76416" w:rsidRPr="00A76416" w:rsidRDefault="00A76416" w:rsidP="00F952F7">
      <w:pPr>
        <w:spacing w:after="100" w:afterAutospacing="1" w:line="240" w:lineRule="auto"/>
        <w:ind w:left="57" w:right="57"/>
        <w:rPr>
          <w:rFonts w:cs="Times New Roman"/>
          <w:sz w:val="22"/>
          <w:szCs w:val="22"/>
        </w:rPr>
      </w:pPr>
      <w:r w:rsidRPr="00A76416">
        <w:rPr>
          <w:rFonts w:cs="Times New Roman"/>
          <w:sz w:val="22"/>
          <w:szCs w:val="22"/>
        </w:rPr>
        <w:t>Solid-phase DNA extraction methods</w:t>
      </w:r>
    </w:p>
    <w:p w14:paraId="70E5ECC2" w14:textId="77777777" w:rsidR="00A76416" w:rsidRPr="00A76416" w:rsidRDefault="00A76416" w:rsidP="00F952F7">
      <w:pPr>
        <w:spacing w:after="100" w:afterAutospacing="1" w:line="240" w:lineRule="auto"/>
        <w:ind w:left="57" w:right="57"/>
        <w:rPr>
          <w:rFonts w:cs="Times New Roman"/>
          <w:sz w:val="22"/>
          <w:szCs w:val="22"/>
        </w:rPr>
      </w:pPr>
      <w:r w:rsidRPr="00A76416">
        <w:rPr>
          <w:rFonts w:cs="Times New Roman"/>
          <w:sz w:val="22"/>
          <w:szCs w:val="22"/>
        </w:rPr>
        <w:t>DNA extraction methods using silica and silica matrices</w:t>
      </w:r>
    </w:p>
    <w:p w14:paraId="3FB8BE0C" w14:textId="77777777" w:rsidR="00A76416" w:rsidRPr="00A76416" w:rsidRDefault="00A76416" w:rsidP="00F952F7">
      <w:pPr>
        <w:spacing w:after="100" w:afterAutospacing="1" w:line="240" w:lineRule="auto"/>
        <w:ind w:left="57" w:right="57"/>
        <w:rPr>
          <w:rFonts w:cs="Times New Roman"/>
          <w:sz w:val="22"/>
          <w:szCs w:val="22"/>
        </w:rPr>
      </w:pPr>
      <w:r w:rsidRPr="00A76416">
        <w:rPr>
          <w:rFonts w:cs="Times New Roman"/>
          <w:sz w:val="22"/>
          <w:szCs w:val="22"/>
        </w:rPr>
        <w:t>DNA extraction using anion exchange resins</w:t>
      </w:r>
    </w:p>
    <w:p w14:paraId="2D5F97AB" w14:textId="77777777" w:rsidR="00A76416" w:rsidRPr="00A76416" w:rsidRDefault="00A76416" w:rsidP="00F952F7">
      <w:pPr>
        <w:spacing w:after="100" w:afterAutospacing="1" w:line="240" w:lineRule="auto"/>
        <w:ind w:left="57" w:right="57"/>
        <w:rPr>
          <w:rFonts w:cs="Times New Roman"/>
          <w:sz w:val="22"/>
          <w:szCs w:val="22"/>
        </w:rPr>
      </w:pPr>
      <w:r w:rsidRPr="00A76416">
        <w:rPr>
          <w:rFonts w:cs="Times New Roman"/>
          <w:sz w:val="22"/>
          <w:szCs w:val="22"/>
        </w:rPr>
        <w:t>DNA extraction methods using magnetic beads</w:t>
      </w:r>
    </w:p>
    <w:p w14:paraId="474A55A2" w14:textId="77777777" w:rsidR="00A76416" w:rsidRPr="00A76416" w:rsidRDefault="00A76416" w:rsidP="00F952F7">
      <w:pPr>
        <w:spacing w:after="100" w:afterAutospacing="1" w:line="240" w:lineRule="auto"/>
        <w:ind w:left="57" w:right="57"/>
        <w:rPr>
          <w:rFonts w:cs="Times New Roman"/>
          <w:sz w:val="22"/>
          <w:szCs w:val="22"/>
        </w:rPr>
      </w:pPr>
      <w:r w:rsidRPr="00A76416">
        <w:rPr>
          <w:rFonts w:cs="Times New Roman"/>
          <w:sz w:val="22"/>
          <w:szCs w:val="22"/>
        </w:rPr>
        <w:t>Main types of DNA extraction methods from human whole blood samples</w:t>
      </w:r>
    </w:p>
    <w:p w14:paraId="2B060884" w14:textId="77777777" w:rsidR="00E1612B" w:rsidRDefault="00E1612B" w:rsidP="00E1612B">
      <w:pPr>
        <w:shd w:val="clear" w:color="auto" w:fill="FFFFFF"/>
        <w:spacing w:before="75" w:after="165" w:line="347" w:lineRule="atLeast"/>
        <w:outlineLvl w:val="1"/>
        <w:rPr>
          <w:rFonts w:eastAsia="Times New Roman" w:cs="Times New Roman"/>
          <w:spacing w:val="8"/>
          <w:sz w:val="22"/>
          <w:szCs w:val="22"/>
        </w:rPr>
      </w:pPr>
      <w:r>
        <w:rPr>
          <w:rFonts w:eastAsia="Times New Roman" w:cs="Times New Roman"/>
          <w:spacing w:val="8"/>
          <w:sz w:val="22"/>
          <w:szCs w:val="22"/>
        </w:rPr>
        <w:t>Methods for genomic DNA isolation</w:t>
      </w:r>
    </w:p>
    <w:p w14:paraId="21818AD8" w14:textId="77777777" w:rsidR="00E1612B" w:rsidRDefault="00E1612B" w:rsidP="00E1612B">
      <w:pPr>
        <w:shd w:val="clear" w:color="auto" w:fill="FFFFFF"/>
        <w:spacing w:after="300" w:line="240" w:lineRule="auto"/>
        <w:rPr>
          <w:rFonts w:eastAsia="Times New Roman" w:cs="Times New Roman"/>
          <w:i/>
          <w:spacing w:val="8"/>
          <w:sz w:val="22"/>
          <w:szCs w:val="22"/>
        </w:rPr>
      </w:pPr>
      <w:r>
        <w:rPr>
          <w:rFonts w:eastAsia="Times New Roman" w:cs="Times New Roman"/>
          <w:sz w:val="22"/>
          <w:szCs w:val="22"/>
        </w:rPr>
        <w:t>Three general methods for genomic DNA isolation are common, and each is based on a different biochemical principle. Selection of a method is based on the throughput required, equipment available in the lab, and how the purified genomic DNA will be used.</w:t>
      </w:r>
      <w:r>
        <w:rPr>
          <w:rFonts w:eastAsia="Times New Roman" w:cs="Times New Roman"/>
          <w:sz w:val="22"/>
          <w:szCs w:val="22"/>
        </w:rPr>
        <w:br/>
      </w:r>
      <w:r>
        <w:rPr>
          <w:rFonts w:eastAsia="Times New Roman" w:cs="Times New Roman"/>
          <w:i/>
          <w:sz w:val="22"/>
          <w:szCs w:val="22"/>
        </w:rPr>
        <w:t> </w:t>
      </w:r>
      <w:r>
        <w:rPr>
          <w:rFonts w:eastAsia="Times New Roman" w:cs="Times New Roman"/>
          <w:i/>
          <w:spacing w:val="8"/>
          <w:sz w:val="22"/>
          <w:szCs w:val="22"/>
        </w:rPr>
        <w:t>Organic extraction and precipitation</w:t>
      </w:r>
    </w:p>
    <w:p w14:paraId="01B8409D" w14:textId="77777777" w:rsidR="00E1612B" w:rsidRDefault="00E1612B" w:rsidP="00E1612B">
      <w:pPr>
        <w:shd w:val="clear" w:color="auto" w:fill="FFFFFF"/>
        <w:spacing w:after="300" w:line="240" w:lineRule="auto"/>
        <w:rPr>
          <w:rFonts w:eastAsia="Times New Roman" w:cs="Times New Roman"/>
          <w:i/>
          <w:spacing w:val="8"/>
          <w:sz w:val="22"/>
          <w:szCs w:val="22"/>
        </w:rPr>
      </w:pPr>
      <w:r>
        <w:rPr>
          <w:rFonts w:eastAsia="Times New Roman" w:cs="Times New Roman"/>
          <w:sz w:val="22"/>
          <w:szCs w:val="22"/>
        </w:rPr>
        <w:t>Genomic DNA isolation by organic extraction involves the addition of phenol and quanidine isothiocynate to separate the DNA and proteins into different organic phases. Organic extraction is a low-cost method and, with advanced reagents such as </w:t>
      </w:r>
      <w:hyperlink r:id="rId5" w:history="1">
        <w:r>
          <w:rPr>
            <w:rStyle w:val="a3"/>
            <w:rFonts w:eastAsia="Times New Roman" w:cs="Times New Roman"/>
            <w:color w:val="auto"/>
            <w:sz w:val="22"/>
            <w:szCs w:val="22"/>
          </w:rPr>
          <w:t>DNAzol</w:t>
        </w:r>
      </w:hyperlink>
      <w:r>
        <w:rPr>
          <w:rFonts w:eastAsia="Times New Roman" w:cs="Times New Roman"/>
          <w:sz w:val="22"/>
          <w:szCs w:val="22"/>
        </w:rPr>
        <w:t>, is a straightforward method requiring very little equipment.</w:t>
      </w:r>
      <w:r>
        <w:rPr>
          <w:rFonts w:eastAsia="Times New Roman" w:cs="Times New Roman"/>
          <w:sz w:val="22"/>
          <w:szCs w:val="22"/>
        </w:rPr>
        <w:br/>
        <w:t> </w:t>
      </w:r>
      <w:r>
        <w:rPr>
          <w:rFonts w:eastAsia="Times New Roman" w:cs="Times New Roman"/>
          <w:i/>
          <w:spacing w:val="8"/>
          <w:sz w:val="22"/>
          <w:szCs w:val="22"/>
        </w:rPr>
        <w:t>Silica</w:t>
      </w:r>
    </w:p>
    <w:p w14:paraId="149366BC" w14:textId="77777777" w:rsidR="00E1612B" w:rsidRDefault="00E1612B" w:rsidP="00E1612B">
      <w:pPr>
        <w:shd w:val="clear" w:color="auto" w:fill="FFFFFF"/>
        <w:spacing w:after="300" w:line="240" w:lineRule="auto"/>
        <w:rPr>
          <w:rFonts w:eastAsia="Times New Roman" w:cs="Times New Roman"/>
          <w:sz w:val="22"/>
          <w:szCs w:val="22"/>
        </w:rPr>
      </w:pPr>
      <w:r>
        <w:rPr>
          <w:rFonts w:eastAsia="Times New Roman" w:cs="Times New Roman"/>
          <w:sz w:val="22"/>
          <w:szCs w:val="22"/>
        </w:rPr>
        <w:t>DNA binds to silica (aka glass fibers) under high-salt conditions and can be released under low-salt conditions. Silica-containing columns provide an easy way to bind, wash, and elute purified genomic DNA from multiple clarified cell lysates in parallel.</w:t>
      </w:r>
    </w:p>
    <w:p w14:paraId="75D8E767" w14:textId="77777777" w:rsidR="00E1612B" w:rsidRDefault="00E1612B" w:rsidP="00E1612B">
      <w:pPr>
        <w:shd w:val="clear" w:color="auto" w:fill="FFFFFF"/>
        <w:spacing w:after="300" w:line="240" w:lineRule="auto"/>
        <w:rPr>
          <w:rFonts w:eastAsia="Times New Roman" w:cs="Times New Roman"/>
          <w:sz w:val="22"/>
          <w:szCs w:val="22"/>
        </w:rPr>
      </w:pPr>
      <w:r>
        <w:rPr>
          <w:rFonts w:eastAsia="Times New Roman" w:cs="Times New Roman"/>
          <w:sz w:val="22"/>
          <w:szCs w:val="22"/>
        </w:rPr>
        <w:t>Columns are designed to flow buffers through centrifugation, vacuum, or gravity. </w:t>
      </w:r>
      <w:hyperlink r:id="rId6" w:history="1">
        <w:r>
          <w:rPr>
            <w:rStyle w:val="a3"/>
            <w:rFonts w:eastAsia="Times New Roman" w:cs="Times New Roman"/>
            <w:color w:val="auto"/>
            <w:sz w:val="22"/>
            <w:szCs w:val="22"/>
          </w:rPr>
          <w:t>PureLink Genomic DNA Mini Kits</w:t>
        </w:r>
      </w:hyperlink>
      <w:r>
        <w:rPr>
          <w:rFonts w:eastAsia="Times New Roman" w:cs="Times New Roman"/>
          <w:sz w:val="22"/>
          <w:szCs w:val="22"/>
        </w:rPr>
        <w:t> use spin column technology and work in a microcentrifuge for easy prep of up to 18 samples at a time. Spin plates provide the same isolation technology in a high-throughput, automation-friendly format.</w:t>
      </w:r>
      <w:r>
        <w:rPr>
          <w:rFonts w:eastAsia="Times New Roman" w:cs="Times New Roman"/>
          <w:sz w:val="22"/>
          <w:szCs w:val="22"/>
        </w:rPr>
        <w:br/>
        <w:t> </w:t>
      </w:r>
    </w:p>
    <w:p w14:paraId="1D32589A" w14:textId="77777777" w:rsidR="00E1612B" w:rsidRDefault="00E1612B" w:rsidP="00E1612B">
      <w:pPr>
        <w:shd w:val="clear" w:color="auto" w:fill="FFFFFF"/>
        <w:spacing w:line="360" w:lineRule="atLeast"/>
        <w:rPr>
          <w:rFonts w:eastAsia="Times New Roman" w:cs="Times New Roman"/>
          <w:spacing w:val="8"/>
          <w:sz w:val="22"/>
          <w:szCs w:val="22"/>
        </w:rPr>
      </w:pPr>
      <w:r>
        <w:rPr>
          <w:rFonts w:eastAsia="Times New Roman" w:cs="Times New Roman"/>
          <w:spacing w:val="8"/>
          <w:sz w:val="22"/>
          <w:szCs w:val="22"/>
        </w:rPr>
        <w:t>Paramagnetic beads</w:t>
      </w:r>
    </w:p>
    <w:p w14:paraId="2F7DBAED" w14:textId="77777777" w:rsidR="00E1612B" w:rsidRDefault="00E1612B" w:rsidP="00E1612B">
      <w:pPr>
        <w:shd w:val="clear" w:color="auto" w:fill="FFFFFF"/>
        <w:spacing w:after="300" w:line="240" w:lineRule="auto"/>
        <w:rPr>
          <w:rFonts w:eastAsia="Times New Roman" w:cs="Times New Roman"/>
          <w:sz w:val="22"/>
          <w:szCs w:val="22"/>
        </w:rPr>
      </w:pPr>
      <w:r>
        <w:rPr>
          <w:rFonts w:eastAsia="Times New Roman" w:cs="Times New Roman"/>
          <w:sz w:val="22"/>
          <w:szCs w:val="22"/>
        </w:rPr>
        <w:t xml:space="preserve">In this method, paramagnetic (attracted to magnet) beads are added to the sample, and genomic DNA binds to the beads. Using a strong magnet, the beads are held in place while removing unwanted material. After washing, the genomic DNA is eluted from the beads in water or a low-salt buffer. The bead-based method, </w:t>
      </w:r>
      <w:r>
        <w:rPr>
          <w:rFonts w:eastAsia="Times New Roman" w:cs="Times New Roman"/>
          <w:sz w:val="22"/>
          <w:szCs w:val="22"/>
        </w:rPr>
        <w:lastRenderedPageBreak/>
        <w:t>used in </w:t>
      </w:r>
      <w:hyperlink r:id="rId7" w:history="1">
        <w:r>
          <w:rPr>
            <w:rStyle w:val="a3"/>
            <w:rFonts w:eastAsia="Times New Roman" w:cs="Times New Roman"/>
            <w:color w:val="auto"/>
            <w:sz w:val="22"/>
            <w:szCs w:val="22"/>
          </w:rPr>
          <w:t>MagMAX multi-sample DNA isolation</w:t>
        </w:r>
      </w:hyperlink>
      <w:r>
        <w:rPr>
          <w:rFonts w:eastAsia="Times New Roman" w:cs="Times New Roman"/>
          <w:sz w:val="22"/>
          <w:szCs w:val="22"/>
        </w:rPr>
        <w:t> and related kits, is scalable and automation compatible.</w:t>
      </w:r>
      <w:r>
        <w:rPr>
          <w:rFonts w:eastAsia="Times New Roman" w:cs="Times New Roman"/>
          <w:sz w:val="22"/>
          <w:szCs w:val="22"/>
        </w:rPr>
        <w:br/>
        <w:t> </w:t>
      </w:r>
    </w:p>
    <w:p w14:paraId="6A45418D" w14:textId="77777777" w:rsidR="00E1612B" w:rsidRDefault="00E1612B" w:rsidP="00E1612B">
      <w:pPr>
        <w:shd w:val="clear" w:color="auto" w:fill="FFFFFF"/>
        <w:spacing w:before="75" w:after="75" w:line="240" w:lineRule="auto"/>
        <w:outlineLvl w:val="0"/>
        <w:rPr>
          <w:rFonts w:eastAsia="Times New Roman" w:cs="Times New Roman"/>
          <w:caps/>
          <w:kern w:val="36"/>
          <w:sz w:val="22"/>
          <w:szCs w:val="22"/>
        </w:rPr>
      </w:pPr>
      <w:r>
        <w:rPr>
          <w:rFonts w:eastAsia="Times New Roman" w:cs="Times New Roman"/>
          <w:caps/>
          <w:kern w:val="36"/>
          <w:sz w:val="22"/>
          <w:szCs w:val="22"/>
        </w:rPr>
        <w:t>CTAB PROTOCOL FOR ISOLATING DNA FROM PLANT TISSUES</w:t>
      </w:r>
    </w:p>
    <w:p w14:paraId="7DF0A6BF" w14:textId="77777777" w:rsidR="00E1612B" w:rsidRDefault="00E1612B" w:rsidP="00E1612B">
      <w:pPr>
        <w:shd w:val="clear" w:color="auto" w:fill="FFFFFF"/>
        <w:spacing w:before="240" w:after="240" w:line="240" w:lineRule="auto"/>
        <w:jc w:val="center"/>
        <w:rPr>
          <w:rFonts w:eastAsia="Times New Roman" w:cs="Times New Roman"/>
          <w:sz w:val="22"/>
          <w:szCs w:val="22"/>
        </w:rPr>
      </w:pPr>
      <w:r>
        <w:rPr>
          <w:rFonts w:eastAsia="Times New Roman" w:cs="Times New Roman"/>
          <w:sz w:val="22"/>
          <w:szCs w:val="22"/>
        </w:rPr>
        <w:t>.</w:t>
      </w:r>
    </w:p>
    <w:p w14:paraId="1439D624" w14:textId="77777777" w:rsidR="00E1612B" w:rsidRDefault="00E1612B" w:rsidP="00E1612B">
      <w:pPr>
        <w:shd w:val="clear" w:color="auto" w:fill="FFFFFF"/>
        <w:spacing w:before="240" w:after="240" w:line="240" w:lineRule="auto"/>
        <w:jc w:val="both"/>
        <w:rPr>
          <w:rFonts w:eastAsia="Times New Roman" w:cs="Times New Roman"/>
          <w:sz w:val="22"/>
          <w:szCs w:val="22"/>
        </w:rPr>
      </w:pPr>
      <w:r>
        <w:rPr>
          <w:rFonts w:eastAsia="Times New Roman" w:cs="Times New Roman"/>
          <w:sz w:val="22"/>
          <w:szCs w:val="22"/>
        </w:rPr>
        <w:t>Isolating Deoxyribonucleic Acid (DNA) from plant tissues can be challenging as the biochemistry between divergent plant species can be extremely different. Unlike animal tissues where the same tissue type from different species usually has similar characteristics, plant tissue can have variable levels of metabolites and structural biomolecules. Polysaccharides and polyphenols are two classes of plant biomolecules that vary significantly between species and are problematic when isolating DNA. Contaminating polysaccharides and polyphenols can interfere with manipulations of DNA following isolation.</w:t>
      </w:r>
    </w:p>
    <w:p w14:paraId="09D8D429" w14:textId="77777777" w:rsidR="00E1612B" w:rsidRDefault="00E1612B" w:rsidP="00E1612B">
      <w:pPr>
        <w:shd w:val="clear" w:color="auto" w:fill="FFFFFF"/>
        <w:spacing w:before="240" w:after="240" w:line="240" w:lineRule="auto"/>
        <w:jc w:val="both"/>
        <w:rPr>
          <w:rFonts w:eastAsia="Times New Roman" w:cs="Times New Roman"/>
          <w:sz w:val="22"/>
          <w:szCs w:val="22"/>
        </w:rPr>
      </w:pPr>
      <w:r>
        <w:rPr>
          <w:rFonts w:eastAsia="Times New Roman" w:cs="Times New Roman"/>
          <w:sz w:val="22"/>
          <w:szCs w:val="22"/>
        </w:rPr>
        <w:t>The following protocols for isolating clean plant DNA, both start with a traditional approach using a cetyltrimethylammonium bromide (CTAB) buffer. At that point they diverge, the first protocol makes use of phenol and chloroform, and the second protocol uses a reverse solid phase extraction (i.e., capturing contaminants on a solid phase). Methods using phenol and chloroform are preferred for the isolation of high molecular weight DNA, however both chemicals are considered hazardous. Phenol can cause very serious chemical burns while chloroform is a known carcinogen. The CTAB method using solid phase extraction, avoids phenol and chloroform and is best used for assays where smaller DNA fragment sizes are acceptable.</w:t>
      </w:r>
    </w:p>
    <w:p w14:paraId="5E4FDB65" w14:textId="6391E944" w:rsidR="00E1612B" w:rsidRDefault="00E1612B" w:rsidP="00E1612B">
      <w:pPr>
        <w:spacing w:line="240" w:lineRule="auto"/>
        <w:rPr>
          <w:rFonts w:eastAsia="Times New Roman" w:cs="Times New Roman"/>
          <w:sz w:val="22"/>
          <w:szCs w:val="22"/>
        </w:rPr>
      </w:pPr>
      <w:r>
        <w:rPr>
          <w:noProof/>
        </w:rPr>
        <mc:AlternateContent>
          <mc:Choice Requires="wps">
            <w:drawing>
              <wp:inline distT="0" distB="0" distL="0" distR="0" wp14:anchorId="762E678D" wp14:editId="2E2BDB89">
                <wp:extent cx="306705" cy="306705"/>
                <wp:effectExtent l="0" t="0" r="0" b="0"/>
                <wp:docPr id="1" name="Прямоугольник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670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1226F21" id="Прямоугольник 1" o:spid="_x0000_s1026" style="width:24.15pt;height:2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Gmp0wEAAJ4DAAAOAAAAZHJzL2Uyb0RvYy54bWysU11v0zAUfUfiP1h+p0lLt0HUdJo2DSEN&#10;hjT2A1zHbiwSX3Ov27T8eq6dri3sDfFi3Q/n3HOPTxbXu74TW4PkwNdyOimlMF5D4/y6ls/f7999&#10;kIKi8o3qwJta7g3J6+XbN4shVGYGLXSNQcEgnqoh1LKNMVRFQbo1vaIJBOO5aQF7FTnFddGgGhi9&#10;74pZWV4WA2ATELQh4urd2JTLjG+t0fHRWjJRdLVkbjGfmM9VOovlQlVrVKF1+kBD/QOLXjnPQ49Q&#10;dyoqsUH3Cqp3GoHAxomGvgBrnTZ5B95mWv61zVOrgsm7sDgUjjLR/4PVX7dP4Rsm6hQeQP8g4eG2&#10;VX5tbiiwfPyo8lRChKE1qmEG06RdMQSqjhgpIUYTq+ELNPzaahMhy7Kz2KcZvLDYZfX3R/XNLgrN&#10;xffl5VV5IYXm1iFOE1T18nFAip8M9CIFtURml8HV9oHiePXlSprl4d51XX7gzv9RYMxUyeQT3+QW&#10;qlbQ7Jk7wmgSNjUHLeAvKQY2SC3p50ahkaL77Hn/j9P5PDkqJ/OLqxkneN5ZnXeU1wxVyyjFGN7G&#10;0YWbgG7dZplHjjesmXV5nxOrA1k2QVbkYNjksvM83zr9VsvfAAAA//8DAFBLAwQUAAYACAAAACEA&#10;JgsrPNoAAAADAQAADwAAAGRycy9kb3ducmV2LnhtbEyPT0vDQBDF74LfYRnBi9iNf5ASsylSEIsI&#10;pan2PM2OSTA7m2a3Sfz2jnrQyzyGN7z3m2wxuVYN1IfGs4GrWQKKuPS24crA6/bxcg4qRGSLrWcy&#10;8EkBFvnpSYap9SNvaChipSSEQ4oG6hi7VOtQ1uQwzHxHLN677x1GWftK2x5HCXetvk6SO+2wYWmo&#10;saNlTeVHcXQGxnI97LYvT3p9sVt5PqwOy+Lt2Zjzs+nhHlSkKf4dwze+oEMuTHt/ZBtUa0AeiT9T&#10;vNv5Daj9r+o80//Z8y8AAAD//wMAUEsBAi0AFAAGAAgAAAAhALaDOJL+AAAA4QEAABMAAAAAAAAA&#10;AAAAAAAAAAAAAFtDb250ZW50X1R5cGVzXS54bWxQSwECLQAUAAYACAAAACEAOP0h/9YAAACUAQAA&#10;CwAAAAAAAAAAAAAAAAAvAQAAX3JlbHMvLnJlbHNQSwECLQAUAAYACAAAACEAOrBpqdMBAACeAwAA&#10;DgAAAAAAAAAAAAAAAAAuAgAAZHJzL2Uyb0RvYy54bWxQSwECLQAUAAYACAAAACEAJgsrPNoAAAAD&#10;AQAADwAAAAAAAAAAAAAAAAAtBAAAZHJzL2Rvd25yZXYueG1sUEsFBgAAAAAEAAQA8wAAADQFAAAA&#10;AA==&#10;" filled="f" stroked="f">
                <o:lock v:ext="edit" aspectratio="t"/>
                <w10:anchorlock/>
              </v:rect>
            </w:pict>
          </mc:Fallback>
        </mc:AlternateContent>
      </w:r>
    </w:p>
    <w:p w14:paraId="38A09BDE" w14:textId="77777777" w:rsidR="00E1612B" w:rsidRDefault="00E1612B" w:rsidP="00E1612B">
      <w:pPr>
        <w:shd w:val="clear" w:color="auto" w:fill="FFFFFF"/>
        <w:spacing w:before="240" w:after="240" w:line="240" w:lineRule="auto"/>
        <w:rPr>
          <w:rFonts w:eastAsia="Times New Roman" w:cs="Times New Roman"/>
          <w:color w:val="008080"/>
          <w:sz w:val="22"/>
          <w:szCs w:val="22"/>
        </w:rPr>
      </w:pPr>
      <w:r>
        <w:rPr>
          <w:rFonts w:eastAsia="Times New Roman" w:cs="Times New Roman"/>
          <w:color w:val="008080"/>
          <w:sz w:val="22"/>
          <w:szCs w:val="22"/>
        </w:rPr>
        <w:t>Skip ahead to the protocols:</w:t>
      </w:r>
    </w:p>
    <w:p w14:paraId="048855E4" w14:textId="77777777" w:rsidR="00E1612B" w:rsidRDefault="00E1612B" w:rsidP="00E1612B">
      <w:pPr>
        <w:shd w:val="clear" w:color="auto" w:fill="FFFFFF"/>
        <w:spacing w:before="240" w:after="240" w:line="240" w:lineRule="auto"/>
        <w:rPr>
          <w:rFonts w:eastAsia="Times New Roman" w:cs="Times New Roman"/>
          <w:color w:val="777777"/>
          <w:sz w:val="22"/>
          <w:szCs w:val="22"/>
        </w:rPr>
      </w:pPr>
      <w:hyperlink r:id="rId8" w:anchor="phenolpr" w:history="1">
        <w:r>
          <w:rPr>
            <w:rStyle w:val="a3"/>
            <w:rFonts w:eastAsia="Times New Roman" w:cs="Times New Roman"/>
            <w:sz w:val="22"/>
            <w:szCs w:val="22"/>
            <w:shd w:val="clear" w:color="auto" w:fill="FFFFFF"/>
          </w:rPr>
          <w:t>Plant DNA Isolation using Phenol/Chloroform Extraction</w:t>
        </w:r>
      </w:hyperlink>
    </w:p>
    <w:p w14:paraId="7D53AED1" w14:textId="77777777" w:rsidR="00E1612B" w:rsidRDefault="00E1612B" w:rsidP="00E1612B">
      <w:pPr>
        <w:shd w:val="clear" w:color="auto" w:fill="FFFFFF"/>
        <w:spacing w:before="240" w:after="240" w:line="240" w:lineRule="auto"/>
        <w:rPr>
          <w:rFonts w:eastAsia="Times New Roman" w:cs="Times New Roman"/>
          <w:color w:val="777777"/>
          <w:sz w:val="22"/>
          <w:szCs w:val="22"/>
        </w:rPr>
      </w:pPr>
      <w:hyperlink r:id="rId9" w:anchor="Synergy" w:history="1">
        <w:r>
          <w:rPr>
            <w:rStyle w:val="a3"/>
            <w:rFonts w:eastAsia="Times New Roman" w:cs="Times New Roman"/>
            <w:sz w:val="22"/>
            <w:szCs w:val="22"/>
            <w:shd w:val="clear" w:color="auto" w:fill="FFFFFF"/>
          </w:rPr>
          <w:t>Plant DNA Isolation using Reverse Solid Phase Extraction</w:t>
        </w:r>
      </w:hyperlink>
    </w:p>
    <w:p w14:paraId="0E668176" w14:textId="77777777" w:rsidR="00E1612B" w:rsidRDefault="00E1612B" w:rsidP="00E1612B">
      <w:pPr>
        <w:shd w:val="clear" w:color="auto" w:fill="FFFFFF"/>
        <w:spacing w:before="240" w:after="240" w:line="240" w:lineRule="auto"/>
        <w:rPr>
          <w:rFonts w:eastAsia="Times New Roman" w:cs="Times New Roman"/>
          <w:caps/>
          <w:sz w:val="22"/>
          <w:szCs w:val="22"/>
        </w:rPr>
      </w:pPr>
      <w:r>
        <w:rPr>
          <w:rFonts w:eastAsia="Times New Roman" w:cs="Times New Roman"/>
          <w:color w:val="777777"/>
          <w:sz w:val="22"/>
          <w:szCs w:val="22"/>
        </w:rPr>
        <w:t> </w:t>
      </w:r>
      <w:r>
        <w:rPr>
          <w:rFonts w:eastAsia="Times New Roman" w:cs="Times New Roman"/>
          <w:caps/>
          <w:sz w:val="22"/>
          <w:szCs w:val="22"/>
        </w:rPr>
        <w:t>ISOLATION CHEMISTRY</w:t>
      </w:r>
    </w:p>
    <w:p w14:paraId="0D815753" w14:textId="77777777" w:rsidR="00E1612B" w:rsidRDefault="00E1612B" w:rsidP="00E1612B">
      <w:pPr>
        <w:shd w:val="clear" w:color="auto" w:fill="FFFFFF"/>
        <w:spacing w:before="240" w:after="240" w:line="240" w:lineRule="auto"/>
        <w:jc w:val="both"/>
        <w:rPr>
          <w:rFonts w:eastAsia="Times New Roman" w:cs="Times New Roman"/>
          <w:sz w:val="22"/>
          <w:szCs w:val="22"/>
        </w:rPr>
      </w:pPr>
      <w:r>
        <w:rPr>
          <w:rFonts w:eastAsia="Times New Roman" w:cs="Times New Roman"/>
          <w:sz w:val="22"/>
          <w:szCs w:val="22"/>
        </w:rPr>
        <w:t>As mentioned, polysaccharides and polyphenols are problematic when isolating DNA from plant tissues. CTAB buffers are effective at removing polysaccharides and polyphenols from plant DNA preparations. CTAB (also called hexadecyltrimethylammonium bromide) is a cationic detergent that facilitates the separation of polysaccharides during purification while additives, such as polyvinylpyrrolidone, aid in inactivating polyphenols. CTAB based extraction buffers are widely used when purifying DNA from plant tissues. The hazard with traditional CTAB protocols is the protein component of plant lysates is usually removed using phenol and chloroform. These two solvents are generally considered hazardous. The solid phase protocol listed below is an alternative. CTAB is more than a surfactant and its properties can be used in several ways to purify DNA. One option for purifying DNA using CTAB exploits the different solubilities of polysaccharides and DNA in CTAB depending upon the concentration of sodium chloride. At higher salt concentrations (1.4 M), polysaccharides are insoluble, while at lower concentrations (600 mM) DNA is insoluble. Consequently, adjusting salt concentration in lysates with CTAB, polysaccharides and DNA can be differentially precipitated. Most methods use CTAB to remove polysaccharides, followed by protein removal and DNA separation using precipitation or spin columns.</w:t>
      </w:r>
    </w:p>
    <w:p w14:paraId="35FFBB42" w14:textId="77777777" w:rsidR="00E1612B" w:rsidRDefault="00E1612B" w:rsidP="00E1612B">
      <w:pPr>
        <w:shd w:val="clear" w:color="auto" w:fill="FFFFFF"/>
        <w:spacing w:before="240" w:after="240" w:line="240" w:lineRule="auto"/>
        <w:jc w:val="both"/>
        <w:rPr>
          <w:rFonts w:eastAsia="Times New Roman" w:cs="Times New Roman"/>
          <w:sz w:val="22"/>
          <w:szCs w:val="22"/>
        </w:rPr>
      </w:pPr>
      <w:r>
        <w:rPr>
          <w:rFonts w:eastAsia="Times New Roman" w:cs="Times New Roman"/>
          <w:sz w:val="22"/>
          <w:szCs w:val="22"/>
        </w:rPr>
        <w:t xml:space="preserve">Plant cells contain phenolic compounds, such as catechol, that are catalyzed by polyphenol oxidase to o-quinones. The o-quinones in turn can alkylate and inactivate proteins. Polyphenol oxidases are found in plastids (i.e., chloroplasts) while catechol is found in vacuoles. When plant cells and tissues are disrupted, the enzyme and substrate mix and generate the reactive o-quinones (which is associated with browning of damaged leaves and fruit). Therefore, homogenizing plant tissue yields reactive molecules that can potentially interfere with subsequent manipulation of the DNA. To avoid the production of o-quinones, phenolic precursors are captured </w:t>
      </w:r>
      <w:r>
        <w:rPr>
          <w:rFonts w:eastAsia="Times New Roman" w:cs="Times New Roman"/>
          <w:sz w:val="22"/>
          <w:szCs w:val="22"/>
        </w:rPr>
        <w:lastRenderedPageBreak/>
        <w:t>by polyvinylpyrrolidone (PVP) that is present in the homogenization buffer. PVP binds strongly with aromatic compounds, such as catechol and subsequent polyphenols, and prevents the formation of reactive o-quinones. CTAB-based protocols tend to work very well, but with one significant disadvantage phenol/chloroform extractions are routinely used to separate protein from the DNA. As chloroform is carcinogenic, many institutions frown upon its use. Furthermore, phenol can cause serious chemical burns. The traditional protocol will be covered, as well as an alternative protocol that uses solid phase extraction. The solid phase extraction is the basis of the Synergy™ Plant DNA Extraction Kit.</w:t>
      </w:r>
    </w:p>
    <w:p w14:paraId="09C411E1" w14:textId="77777777" w:rsidR="00A76416" w:rsidRPr="00A76416" w:rsidRDefault="00A76416" w:rsidP="00F952F7">
      <w:pPr>
        <w:spacing w:after="100" w:afterAutospacing="1" w:line="240" w:lineRule="auto"/>
        <w:ind w:left="57" w:right="57"/>
        <w:rPr>
          <w:rFonts w:cs="Times New Roman"/>
          <w:bCs/>
          <w:sz w:val="22"/>
          <w:szCs w:val="22"/>
        </w:rPr>
      </w:pPr>
    </w:p>
    <w:p w14:paraId="41EE990A" w14:textId="2D740C57" w:rsidR="00A76416" w:rsidRPr="00A76416" w:rsidRDefault="00AA6743" w:rsidP="00F952F7">
      <w:pPr>
        <w:spacing w:after="100" w:afterAutospacing="1" w:line="240" w:lineRule="auto"/>
        <w:ind w:left="57" w:right="57"/>
        <w:rPr>
          <w:rFonts w:cs="Times New Roman"/>
          <w:bCs/>
          <w:sz w:val="22"/>
          <w:szCs w:val="22"/>
        </w:rPr>
      </w:pPr>
      <w:r w:rsidRPr="00AA6743">
        <w:rPr>
          <w:rFonts w:cs="Times New Roman"/>
          <w:b/>
          <w:sz w:val="22"/>
          <w:szCs w:val="22"/>
        </w:rPr>
        <w:t>Lab. work</w:t>
      </w:r>
      <w:r w:rsidR="00A76416" w:rsidRPr="00A76416">
        <w:rPr>
          <w:rFonts w:cs="Times New Roman"/>
          <w:b/>
          <w:sz w:val="22"/>
          <w:szCs w:val="22"/>
        </w:rPr>
        <w:t xml:space="preserve"> 2</w:t>
      </w:r>
      <w:r w:rsidR="00A76416" w:rsidRPr="00A76416">
        <w:rPr>
          <w:rFonts w:cs="Times New Roman"/>
          <w:sz w:val="22"/>
          <w:szCs w:val="22"/>
        </w:rPr>
        <w:t xml:space="preserve"> </w:t>
      </w:r>
      <w:r w:rsidR="00A76416" w:rsidRPr="00A76416">
        <w:rPr>
          <w:rFonts w:cs="Times New Roman"/>
          <w:i/>
          <w:iCs/>
          <w:sz w:val="22"/>
          <w:szCs w:val="22"/>
        </w:rPr>
        <w:t>Methods of e</w:t>
      </w:r>
      <w:r w:rsidR="00A76416" w:rsidRPr="00A76416">
        <w:rPr>
          <w:rFonts w:cs="Times New Roman"/>
          <w:bCs/>
          <w:i/>
          <w:iCs/>
          <w:sz w:val="22"/>
          <w:szCs w:val="22"/>
        </w:rPr>
        <w:t>xtraction of nucleic acids from different biological materials</w:t>
      </w:r>
    </w:p>
    <w:p w14:paraId="7971E63A" w14:textId="77777777" w:rsidR="00A76416" w:rsidRPr="00A76416" w:rsidRDefault="00A76416" w:rsidP="00F952F7">
      <w:pPr>
        <w:spacing w:after="100" w:afterAutospacing="1" w:line="240" w:lineRule="auto"/>
        <w:ind w:left="57" w:right="57"/>
        <w:rPr>
          <w:rFonts w:cs="Times New Roman"/>
          <w:bCs/>
          <w:sz w:val="22"/>
          <w:szCs w:val="22"/>
        </w:rPr>
      </w:pPr>
      <w:r w:rsidRPr="00A76416">
        <w:rPr>
          <w:rFonts w:cs="Times New Roman"/>
          <w:bCs/>
          <w:sz w:val="22"/>
          <w:szCs w:val="22"/>
        </w:rPr>
        <w:t>DNA extraction protocols using organic solvents derived originally from a series of related RNA extraction methods. Some of the main steps used in these methods are:</w:t>
      </w:r>
    </w:p>
    <w:p w14:paraId="219A37DB" w14:textId="77777777" w:rsidR="00A76416" w:rsidRPr="00A76416" w:rsidRDefault="00A76416" w:rsidP="00F952F7">
      <w:pPr>
        <w:spacing w:after="100" w:afterAutospacing="1" w:line="240" w:lineRule="auto"/>
        <w:ind w:left="57" w:right="57"/>
        <w:rPr>
          <w:rFonts w:cs="Times New Roman"/>
          <w:bCs/>
          <w:sz w:val="22"/>
          <w:szCs w:val="22"/>
        </w:rPr>
      </w:pPr>
      <w:r w:rsidRPr="00A76416">
        <w:rPr>
          <w:rFonts w:cs="Times New Roman"/>
          <w:bCs/>
          <w:sz w:val="22"/>
          <w:szCs w:val="22"/>
        </w:rPr>
        <w:t xml:space="preserve"> 1) cell lysis undertaken by adding a detergent/chaotropic-containing solution, including SDS or N-Lauroyl sarcosine; </w:t>
      </w:r>
    </w:p>
    <w:p w14:paraId="345D9EE8" w14:textId="77777777" w:rsidR="00A76416" w:rsidRPr="00A76416" w:rsidRDefault="00A76416" w:rsidP="00F952F7">
      <w:pPr>
        <w:spacing w:after="100" w:afterAutospacing="1" w:line="240" w:lineRule="auto"/>
        <w:ind w:left="57" w:right="57"/>
        <w:rPr>
          <w:rFonts w:cs="Times New Roman"/>
          <w:bCs/>
          <w:sz w:val="22"/>
          <w:szCs w:val="22"/>
        </w:rPr>
      </w:pPr>
      <w:r w:rsidRPr="00A76416">
        <w:rPr>
          <w:rFonts w:cs="Times New Roman"/>
          <w:bCs/>
          <w:sz w:val="22"/>
          <w:szCs w:val="22"/>
        </w:rPr>
        <w:t>2) inactivation of DNases and RNases, usually through the use of organic solvents;</w:t>
      </w:r>
    </w:p>
    <w:p w14:paraId="06A5F5AA" w14:textId="77777777" w:rsidR="00A76416" w:rsidRPr="00A76416" w:rsidRDefault="00A76416" w:rsidP="00F952F7">
      <w:pPr>
        <w:spacing w:after="100" w:afterAutospacing="1" w:line="240" w:lineRule="auto"/>
        <w:ind w:left="57" w:right="57"/>
        <w:rPr>
          <w:rFonts w:cs="Times New Roman"/>
          <w:bCs/>
          <w:sz w:val="22"/>
          <w:szCs w:val="22"/>
        </w:rPr>
      </w:pPr>
      <w:r w:rsidRPr="00A76416">
        <w:rPr>
          <w:rFonts w:cs="Times New Roman"/>
          <w:bCs/>
          <w:sz w:val="22"/>
          <w:szCs w:val="22"/>
        </w:rPr>
        <w:t xml:space="preserve"> 3) purification of DNA and removal of RNA, lipids, and proteins; </w:t>
      </w:r>
    </w:p>
    <w:p w14:paraId="27CE23E5" w14:textId="64C1AABD" w:rsidR="00A76416" w:rsidRDefault="00A76416" w:rsidP="00F952F7">
      <w:pPr>
        <w:spacing w:after="100" w:afterAutospacing="1" w:line="240" w:lineRule="auto"/>
        <w:ind w:left="57" w:right="57"/>
        <w:rPr>
          <w:rFonts w:cs="Times New Roman"/>
          <w:bCs/>
          <w:sz w:val="22"/>
          <w:szCs w:val="22"/>
        </w:rPr>
      </w:pPr>
      <w:r w:rsidRPr="00A76416">
        <w:rPr>
          <w:rFonts w:cs="Times New Roman"/>
          <w:bCs/>
          <w:sz w:val="22"/>
          <w:szCs w:val="22"/>
        </w:rPr>
        <w:t>4) resuspension of extracted nucleic acids.</w:t>
      </w:r>
    </w:p>
    <w:p w14:paraId="06E5ACE0" w14:textId="77777777" w:rsidR="00E1612B" w:rsidRDefault="00E1612B" w:rsidP="00E1612B">
      <w:pPr>
        <w:shd w:val="clear" w:color="auto" w:fill="FFFFFF"/>
        <w:spacing w:before="75" w:after="75" w:line="240" w:lineRule="auto"/>
        <w:outlineLvl w:val="1"/>
        <w:rPr>
          <w:rFonts w:eastAsia="Times New Roman" w:cs="Times New Roman"/>
          <w:caps/>
          <w:sz w:val="22"/>
          <w:szCs w:val="22"/>
        </w:rPr>
      </w:pPr>
      <w:r>
        <w:rPr>
          <w:rFonts w:eastAsia="Times New Roman" w:cs="Times New Roman"/>
          <w:caps/>
          <w:sz w:val="22"/>
          <w:szCs w:val="22"/>
        </w:rPr>
        <w:t>PLANT DNA ISOLATION USING PHENOL/CHLOROFORM EXTRACTION</w:t>
      </w:r>
    </w:p>
    <w:p w14:paraId="3425B6A9" w14:textId="77777777" w:rsidR="00E1612B" w:rsidRDefault="00E1612B" w:rsidP="00E1612B">
      <w:pPr>
        <w:shd w:val="clear" w:color="auto" w:fill="FFFFFF"/>
        <w:spacing w:before="240" w:after="240" w:line="240" w:lineRule="auto"/>
        <w:jc w:val="both"/>
        <w:rPr>
          <w:rFonts w:eastAsia="Times New Roman" w:cs="Times New Roman"/>
          <w:sz w:val="22"/>
          <w:szCs w:val="22"/>
        </w:rPr>
      </w:pPr>
      <w:r>
        <w:rPr>
          <w:rFonts w:eastAsia="Times New Roman" w:cs="Times New Roman"/>
          <w:sz w:val="22"/>
          <w:szCs w:val="22"/>
        </w:rPr>
        <w:t>This method is best for isolating high molecular weight DNA. Caution is needed when working with liquid nitrogen, chloroform, and phenol. Consult your organization’s safety guidelines when working with these hazardous materials.</w:t>
      </w:r>
    </w:p>
    <w:p w14:paraId="25DD4E75" w14:textId="77777777" w:rsidR="00E1612B" w:rsidRDefault="00E1612B" w:rsidP="00E1612B">
      <w:pPr>
        <w:shd w:val="clear" w:color="auto" w:fill="FFFFFF"/>
        <w:spacing w:before="75" w:after="75" w:line="240" w:lineRule="auto"/>
        <w:outlineLvl w:val="2"/>
        <w:rPr>
          <w:rFonts w:eastAsia="Times New Roman" w:cs="Times New Roman"/>
          <w:caps/>
          <w:sz w:val="22"/>
          <w:szCs w:val="22"/>
        </w:rPr>
      </w:pPr>
      <w:r>
        <w:rPr>
          <w:rFonts w:eastAsia="Times New Roman" w:cs="Times New Roman"/>
          <w:caps/>
          <w:sz w:val="22"/>
          <w:szCs w:val="22"/>
        </w:rPr>
        <w:t>MATERIALS</w:t>
      </w:r>
    </w:p>
    <w:p w14:paraId="3617A8E9" w14:textId="77777777" w:rsidR="00E1612B" w:rsidRDefault="00E1612B" w:rsidP="00E1612B">
      <w:pPr>
        <w:numPr>
          <w:ilvl w:val="0"/>
          <w:numId w:val="1"/>
        </w:numPr>
        <w:shd w:val="clear" w:color="auto" w:fill="FFFFFF"/>
        <w:spacing w:before="100" w:beforeAutospacing="1" w:after="100" w:afterAutospacing="1" w:line="240" w:lineRule="auto"/>
        <w:jc w:val="both"/>
        <w:rPr>
          <w:rFonts w:eastAsia="Times New Roman" w:cs="Times New Roman"/>
          <w:sz w:val="22"/>
          <w:szCs w:val="22"/>
        </w:rPr>
      </w:pPr>
      <w:r>
        <w:rPr>
          <w:rFonts w:eastAsia="Times New Roman" w:cs="Times New Roman"/>
          <w:sz w:val="22"/>
          <w:szCs w:val="22"/>
        </w:rPr>
        <w:t>CTAB buffer: 2% cetyl trimethylammonium bromide, 1% polyvinylpyrrolidone, 100 mM Tris-HCl, 1.4 M NaCl, 20 mM EDTA, or CTAB Extraction Buffer</w:t>
      </w:r>
    </w:p>
    <w:p w14:paraId="44B7B448" w14:textId="77777777" w:rsidR="00E1612B" w:rsidRDefault="00E1612B" w:rsidP="00E1612B">
      <w:pPr>
        <w:numPr>
          <w:ilvl w:val="0"/>
          <w:numId w:val="1"/>
        </w:numPr>
        <w:shd w:val="clear" w:color="auto" w:fill="FFFFFF"/>
        <w:spacing w:before="100" w:beforeAutospacing="1" w:after="100" w:afterAutospacing="1" w:line="240" w:lineRule="auto"/>
        <w:jc w:val="both"/>
        <w:rPr>
          <w:rFonts w:eastAsia="Times New Roman" w:cs="Times New Roman"/>
          <w:sz w:val="22"/>
          <w:szCs w:val="22"/>
        </w:rPr>
      </w:pPr>
      <w:r>
        <w:rPr>
          <w:rFonts w:eastAsia="Times New Roman" w:cs="Times New Roman"/>
          <w:sz w:val="22"/>
          <w:szCs w:val="22"/>
        </w:rPr>
        <w:t>Polypropylene tubes (don’t use polycarbonate tubes with phenol and chloroform)</w:t>
      </w:r>
    </w:p>
    <w:p w14:paraId="568C0C7D" w14:textId="77777777" w:rsidR="00E1612B" w:rsidRDefault="00E1612B" w:rsidP="00E1612B">
      <w:pPr>
        <w:numPr>
          <w:ilvl w:val="0"/>
          <w:numId w:val="1"/>
        </w:numPr>
        <w:shd w:val="clear" w:color="auto" w:fill="FFFFFF"/>
        <w:spacing w:before="100" w:beforeAutospacing="1" w:after="100" w:afterAutospacing="1" w:line="240" w:lineRule="auto"/>
        <w:jc w:val="both"/>
        <w:rPr>
          <w:rFonts w:eastAsia="Times New Roman" w:cs="Times New Roman"/>
          <w:sz w:val="22"/>
          <w:szCs w:val="22"/>
        </w:rPr>
      </w:pPr>
      <w:r>
        <w:rPr>
          <w:rFonts w:eastAsia="Times New Roman" w:cs="Times New Roman"/>
          <w:sz w:val="22"/>
          <w:szCs w:val="22"/>
        </w:rPr>
        <w:t>Centrifuge (at least 14,000 x g)</w:t>
      </w:r>
    </w:p>
    <w:p w14:paraId="55C80B8C" w14:textId="77777777" w:rsidR="00E1612B" w:rsidRDefault="00E1612B" w:rsidP="00E1612B">
      <w:pPr>
        <w:numPr>
          <w:ilvl w:val="0"/>
          <w:numId w:val="1"/>
        </w:numPr>
        <w:shd w:val="clear" w:color="auto" w:fill="FFFFFF"/>
        <w:spacing w:before="100" w:beforeAutospacing="1" w:after="100" w:afterAutospacing="1" w:line="240" w:lineRule="auto"/>
        <w:jc w:val="both"/>
        <w:rPr>
          <w:rFonts w:eastAsia="Times New Roman" w:cs="Times New Roman"/>
          <w:sz w:val="22"/>
          <w:szCs w:val="22"/>
        </w:rPr>
      </w:pPr>
      <w:r>
        <w:rPr>
          <w:rFonts w:eastAsia="Times New Roman" w:cs="Times New Roman"/>
          <w:sz w:val="22"/>
          <w:szCs w:val="22"/>
        </w:rPr>
        <w:t>RNase A Solution (10 mg/ml in water, DNase-free)</w:t>
      </w:r>
    </w:p>
    <w:p w14:paraId="766FE887" w14:textId="77777777" w:rsidR="00E1612B" w:rsidRDefault="00E1612B" w:rsidP="00E1612B">
      <w:pPr>
        <w:numPr>
          <w:ilvl w:val="0"/>
          <w:numId w:val="1"/>
        </w:numPr>
        <w:shd w:val="clear" w:color="auto" w:fill="FFFFFF"/>
        <w:spacing w:before="100" w:beforeAutospacing="1" w:after="100" w:afterAutospacing="1" w:line="240" w:lineRule="auto"/>
        <w:jc w:val="both"/>
        <w:rPr>
          <w:rFonts w:eastAsia="Times New Roman" w:cs="Times New Roman"/>
          <w:sz w:val="22"/>
          <w:szCs w:val="22"/>
        </w:rPr>
      </w:pPr>
      <w:r>
        <w:rPr>
          <w:rFonts w:eastAsia="Times New Roman" w:cs="Times New Roman"/>
          <w:sz w:val="22"/>
          <w:szCs w:val="22"/>
        </w:rPr>
        <w:t>Isopropanol</w:t>
      </w:r>
    </w:p>
    <w:p w14:paraId="3E3867BF" w14:textId="77777777" w:rsidR="00E1612B" w:rsidRDefault="00E1612B" w:rsidP="00E1612B">
      <w:pPr>
        <w:numPr>
          <w:ilvl w:val="0"/>
          <w:numId w:val="1"/>
        </w:numPr>
        <w:shd w:val="clear" w:color="auto" w:fill="FFFFFF"/>
        <w:spacing w:before="100" w:beforeAutospacing="1" w:after="100" w:afterAutospacing="1" w:line="240" w:lineRule="auto"/>
        <w:jc w:val="both"/>
        <w:rPr>
          <w:rFonts w:eastAsia="Times New Roman" w:cs="Times New Roman"/>
          <w:sz w:val="22"/>
          <w:szCs w:val="22"/>
        </w:rPr>
      </w:pPr>
      <w:r>
        <w:rPr>
          <w:rFonts w:eastAsia="Times New Roman" w:cs="Times New Roman"/>
          <w:sz w:val="22"/>
          <w:szCs w:val="22"/>
        </w:rPr>
        <w:t>70% Ethanol</w:t>
      </w:r>
    </w:p>
    <w:p w14:paraId="14F0E906" w14:textId="77777777" w:rsidR="00E1612B" w:rsidRDefault="00E1612B" w:rsidP="00E1612B">
      <w:pPr>
        <w:numPr>
          <w:ilvl w:val="0"/>
          <w:numId w:val="1"/>
        </w:numPr>
        <w:shd w:val="clear" w:color="auto" w:fill="FFFFFF"/>
        <w:spacing w:before="100" w:beforeAutospacing="1" w:after="100" w:afterAutospacing="1" w:line="240" w:lineRule="auto"/>
        <w:jc w:val="both"/>
        <w:rPr>
          <w:rFonts w:eastAsia="Times New Roman" w:cs="Times New Roman"/>
          <w:sz w:val="22"/>
          <w:szCs w:val="22"/>
        </w:rPr>
      </w:pPr>
      <w:r>
        <w:rPr>
          <w:rFonts w:eastAsia="Times New Roman" w:cs="Times New Roman"/>
          <w:sz w:val="22"/>
          <w:szCs w:val="22"/>
        </w:rPr>
        <w:t>2 ml polypropylene centrifuge tubes</w:t>
      </w:r>
    </w:p>
    <w:p w14:paraId="79284E76" w14:textId="77777777" w:rsidR="00E1612B" w:rsidRDefault="00E1612B" w:rsidP="00E1612B">
      <w:pPr>
        <w:numPr>
          <w:ilvl w:val="0"/>
          <w:numId w:val="1"/>
        </w:numPr>
        <w:shd w:val="clear" w:color="auto" w:fill="FFFFFF"/>
        <w:spacing w:before="100" w:beforeAutospacing="1" w:after="100" w:afterAutospacing="1" w:line="240" w:lineRule="auto"/>
        <w:jc w:val="both"/>
        <w:rPr>
          <w:rFonts w:eastAsia="Times New Roman" w:cs="Times New Roman"/>
          <w:sz w:val="22"/>
          <w:szCs w:val="22"/>
        </w:rPr>
      </w:pPr>
      <w:r>
        <w:rPr>
          <w:rFonts w:eastAsia="Times New Roman" w:cs="Times New Roman"/>
          <w:sz w:val="22"/>
          <w:szCs w:val="22"/>
        </w:rPr>
        <w:t>Centrifugal Vacuum Concentrator (e.g., SpeedVac)</w:t>
      </w:r>
    </w:p>
    <w:p w14:paraId="1A57096B" w14:textId="77777777" w:rsidR="00E1612B" w:rsidRDefault="00E1612B" w:rsidP="00E1612B">
      <w:pPr>
        <w:numPr>
          <w:ilvl w:val="0"/>
          <w:numId w:val="1"/>
        </w:numPr>
        <w:shd w:val="clear" w:color="auto" w:fill="FFFFFF"/>
        <w:spacing w:before="100" w:beforeAutospacing="1" w:after="100" w:afterAutospacing="1" w:line="240" w:lineRule="auto"/>
        <w:jc w:val="both"/>
        <w:rPr>
          <w:rFonts w:eastAsia="Times New Roman" w:cs="Times New Roman"/>
          <w:sz w:val="22"/>
          <w:szCs w:val="22"/>
        </w:rPr>
      </w:pPr>
      <w:r>
        <w:rPr>
          <w:rFonts w:eastAsia="Times New Roman" w:cs="Times New Roman"/>
          <w:sz w:val="22"/>
          <w:szCs w:val="22"/>
        </w:rPr>
        <w:t>TE Buffer (10 mM Tris, pH 8, 1 mM EDTA)</w:t>
      </w:r>
    </w:p>
    <w:p w14:paraId="18110DCA" w14:textId="77777777" w:rsidR="00E1612B" w:rsidRDefault="00E1612B" w:rsidP="00E1612B">
      <w:pPr>
        <w:numPr>
          <w:ilvl w:val="0"/>
          <w:numId w:val="1"/>
        </w:numPr>
        <w:shd w:val="clear" w:color="auto" w:fill="FFFFFF"/>
        <w:spacing w:before="100" w:beforeAutospacing="1" w:after="100" w:afterAutospacing="1" w:line="240" w:lineRule="auto"/>
        <w:jc w:val="both"/>
        <w:rPr>
          <w:rFonts w:eastAsia="Times New Roman" w:cs="Times New Roman"/>
          <w:sz w:val="22"/>
          <w:szCs w:val="22"/>
        </w:rPr>
      </w:pPr>
      <w:r>
        <w:rPr>
          <w:rFonts w:eastAsia="Times New Roman" w:cs="Times New Roman"/>
          <w:sz w:val="22"/>
          <w:szCs w:val="22"/>
        </w:rPr>
        <w:t>Phenol/Chloroform/Isoamyl Alcohol (25:24:1 ratio) stored under TE buffer, pH 8</w:t>
      </w:r>
    </w:p>
    <w:p w14:paraId="614AAF89" w14:textId="77777777" w:rsidR="00E1612B" w:rsidRDefault="00E1612B" w:rsidP="00E1612B">
      <w:pPr>
        <w:shd w:val="clear" w:color="auto" w:fill="FFFFFF"/>
        <w:spacing w:before="75" w:after="75" w:line="240" w:lineRule="auto"/>
        <w:outlineLvl w:val="2"/>
        <w:rPr>
          <w:rFonts w:eastAsia="Times New Roman" w:cs="Times New Roman"/>
          <w:caps/>
          <w:sz w:val="22"/>
          <w:szCs w:val="22"/>
        </w:rPr>
      </w:pPr>
      <w:r>
        <w:rPr>
          <w:rFonts w:eastAsia="Times New Roman" w:cs="Times New Roman"/>
          <w:caps/>
          <w:sz w:val="22"/>
          <w:szCs w:val="22"/>
        </w:rPr>
        <w:t>METHOD</w:t>
      </w:r>
    </w:p>
    <w:p w14:paraId="093CFA9B" w14:textId="77777777" w:rsidR="00E1612B" w:rsidRDefault="00E1612B" w:rsidP="00E1612B">
      <w:pPr>
        <w:shd w:val="clear" w:color="auto" w:fill="FFFFFF"/>
        <w:spacing w:before="240" w:after="240" w:line="240" w:lineRule="auto"/>
        <w:jc w:val="both"/>
        <w:rPr>
          <w:rFonts w:eastAsia="Times New Roman" w:cs="Times New Roman"/>
          <w:sz w:val="22"/>
          <w:szCs w:val="22"/>
        </w:rPr>
      </w:pPr>
      <w:r>
        <w:rPr>
          <w:rFonts w:eastAsia="Times New Roman" w:cs="Times New Roman"/>
          <w:sz w:val="22"/>
          <w:szCs w:val="22"/>
        </w:rPr>
        <w:t>Plant samples can be prepared by cryogenically grinding tissue in a mortar and pestle after chilling in liquid nitrogen. Freeze dried plants can be ground at room temperature. In either case, a fine powder is best for extracting DNA.</w:t>
      </w:r>
    </w:p>
    <w:p w14:paraId="0366CC00" w14:textId="77777777" w:rsidR="00E1612B" w:rsidRDefault="00E1612B" w:rsidP="00E1612B">
      <w:pPr>
        <w:numPr>
          <w:ilvl w:val="0"/>
          <w:numId w:val="2"/>
        </w:numPr>
        <w:shd w:val="clear" w:color="auto" w:fill="FFFFFF"/>
        <w:spacing w:before="100" w:beforeAutospacing="1" w:after="100" w:afterAutospacing="1" w:line="240" w:lineRule="auto"/>
        <w:jc w:val="both"/>
        <w:rPr>
          <w:rFonts w:eastAsia="Times New Roman" w:cs="Times New Roman"/>
          <w:sz w:val="22"/>
          <w:szCs w:val="22"/>
        </w:rPr>
      </w:pPr>
      <w:r>
        <w:rPr>
          <w:rFonts w:eastAsia="Times New Roman" w:cs="Times New Roman"/>
          <w:sz w:val="22"/>
          <w:szCs w:val="22"/>
        </w:rPr>
        <w:t>Transfer the ground plant tissue to a polypropylene tube.</w:t>
      </w:r>
    </w:p>
    <w:p w14:paraId="19ACDE9D" w14:textId="77777777" w:rsidR="00E1612B" w:rsidRDefault="00E1612B" w:rsidP="00E1612B">
      <w:pPr>
        <w:numPr>
          <w:ilvl w:val="0"/>
          <w:numId w:val="2"/>
        </w:numPr>
        <w:shd w:val="clear" w:color="auto" w:fill="FFFFFF"/>
        <w:spacing w:before="100" w:beforeAutospacing="1" w:after="100" w:afterAutospacing="1" w:line="240" w:lineRule="auto"/>
        <w:jc w:val="both"/>
        <w:rPr>
          <w:rFonts w:eastAsia="Times New Roman" w:cs="Times New Roman"/>
          <w:sz w:val="22"/>
          <w:szCs w:val="22"/>
        </w:rPr>
      </w:pPr>
      <w:r>
        <w:rPr>
          <w:rFonts w:eastAsia="Times New Roman" w:cs="Times New Roman"/>
          <w:sz w:val="22"/>
          <w:szCs w:val="22"/>
        </w:rPr>
        <w:t>For every 100 mg of homogenized tissue add 500 µl of CTAB Buffer. Mix and thoroughly vortex.</w:t>
      </w:r>
    </w:p>
    <w:p w14:paraId="17E4F2DF" w14:textId="77777777" w:rsidR="00E1612B" w:rsidRDefault="00E1612B" w:rsidP="00E1612B">
      <w:pPr>
        <w:numPr>
          <w:ilvl w:val="0"/>
          <w:numId w:val="2"/>
        </w:numPr>
        <w:shd w:val="clear" w:color="auto" w:fill="FFFFFF"/>
        <w:spacing w:before="100" w:beforeAutospacing="1" w:after="100" w:afterAutospacing="1" w:line="240" w:lineRule="auto"/>
        <w:jc w:val="both"/>
        <w:rPr>
          <w:rFonts w:eastAsia="Times New Roman" w:cs="Times New Roman"/>
          <w:sz w:val="22"/>
          <w:szCs w:val="22"/>
        </w:rPr>
      </w:pPr>
      <w:r>
        <w:rPr>
          <w:rFonts w:eastAsia="Times New Roman" w:cs="Times New Roman"/>
          <w:sz w:val="22"/>
          <w:szCs w:val="22"/>
        </w:rPr>
        <w:lastRenderedPageBreak/>
        <w:t>Place the tube in a 60°C water bath for 30 minutes.</w:t>
      </w:r>
    </w:p>
    <w:p w14:paraId="45461394" w14:textId="77777777" w:rsidR="00E1612B" w:rsidRDefault="00E1612B" w:rsidP="00E1612B">
      <w:pPr>
        <w:numPr>
          <w:ilvl w:val="0"/>
          <w:numId w:val="2"/>
        </w:numPr>
        <w:shd w:val="clear" w:color="auto" w:fill="FFFFFF"/>
        <w:spacing w:before="100" w:beforeAutospacing="1" w:after="100" w:afterAutospacing="1" w:line="240" w:lineRule="auto"/>
        <w:jc w:val="both"/>
        <w:rPr>
          <w:rFonts w:eastAsia="Times New Roman" w:cs="Times New Roman"/>
          <w:sz w:val="22"/>
          <w:szCs w:val="22"/>
        </w:rPr>
      </w:pPr>
      <w:r>
        <w:rPr>
          <w:rFonts w:eastAsia="Times New Roman" w:cs="Times New Roman"/>
          <w:sz w:val="22"/>
          <w:szCs w:val="22"/>
        </w:rPr>
        <w:t>Centrifuge the homogenate for 5 minutes at 14,000 x g.</w:t>
      </w:r>
    </w:p>
    <w:p w14:paraId="2C69E1F1" w14:textId="77777777" w:rsidR="00E1612B" w:rsidRDefault="00E1612B" w:rsidP="00E1612B">
      <w:pPr>
        <w:numPr>
          <w:ilvl w:val="0"/>
          <w:numId w:val="2"/>
        </w:numPr>
        <w:shd w:val="clear" w:color="auto" w:fill="FFFFFF"/>
        <w:spacing w:before="100" w:beforeAutospacing="1" w:after="100" w:afterAutospacing="1" w:line="240" w:lineRule="auto"/>
        <w:jc w:val="both"/>
        <w:rPr>
          <w:rFonts w:eastAsia="Times New Roman" w:cs="Times New Roman"/>
          <w:sz w:val="22"/>
          <w:szCs w:val="22"/>
        </w:rPr>
      </w:pPr>
      <w:r>
        <w:rPr>
          <w:rFonts w:eastAsia="Times New Roman" w:cs="Times New Roman"/>
          <w:sz w:val="22"/>
          <w:szCs w:val="22"/>
        </w:rPr>
        <w:t>Transfer supernatant to a new tube.</w:t>
      </w:r>
    </w:p>
    <w:p w14:paraId="750DB7D5" w14:textId="77777777" w:rsidR="00E1612B" w:rsidRDefault="00E1612B" w:rsidP="00E1612B">
      <w:pPr>
        <w:numPr>
          <w:ilvl w:val="0"/>
          <w:numId w:val="2"/>
        </w:numPr>
        <w:shd w:val="clear" w:color="auto" w:fill="FFFFFF"/>
        <w:spacing w:before="100" w:beforeAutospacing="1" w:after="100" w:afterAutospacing="1" w:line="240" w:lineRule="auto"/>
        <w:jc w:val="both"/>
        <w:rPr>
          <w:rFonts w:eastAsia="Times New Roman" w:cs="Times New Roman"/>
          <w:sz w:val="22"/>
          <w:szCs w:val="22"/>
        </w:rPr>
      </w:pPr>
      <w:r>
        <w:rPr>
          <w:rFonts w:eastAsia="Times New Roman" w:cs="Times New Roman"/>
          <w:sz w:val="22"/>
          <w:szCs w:val="22"/>
        </w:rPr>
        <w:t>Add 5 µl of RNase A solution and incubate at 37°C for 20 minutes.</w:t>
      </w:r>
    </w:p>
    <w:p w14:paraId="2A526C0D" w14:textId="77777777" w:rsidR="00E1612B" w:rsidRDefault="00E1612B" w:rsidP="00E1612B">
      <w:pPr>
        <w:numPr>
          <w:ilvl w:val="0"/>
          <w:numId w:val="2"/>
        </w:numPr>
        <w:shd w:val="clear" w:color="auto" w:fill="FFFFFF"/>
        <w:spacing w:before="100" w:beforeAutospacing="1" w:after="100" w:afterAutospacing="1" w:line="240" w:lineRule="auto"/>
        <w:jc w:val="both"/>
        <w:rPr>
          <w:rFonts w:eastAsia="Times New Roman" w:cs="Times New Roman"/>
          <w:sz w:val="22"/>
          <w:szCs w:val="22"/>
        </w:rPr>
      </w:pPr>
      <w:r>
        <w:rPr>
          <w:rFonts w:eastAsia="Times New Roman" w:cs="Times New Roman"/>
          <w:sz w:val="22"/>
          <w:szCs w:val="22"/>
        </w:rPr>
        <w:t>Add an equal volume of phenol/chloroform/isoamyl alcohol (25:24:1).</w:t>
      </w:r>
    </w:p>
    <w:p w14:paraId="37080A5C" w14:textId="77777777" w:rsidR="00E1612B" w:rsidRDefault="00E1612B" w:rsidP="00E1612B">
      <w:pPr>
        <w:numPr>
          <w:ilvl w:val="0"/>
          <w:numId w:val="2"/>
        </w:numPr>
        <w:shd w:val="clear" w:color="auto" w:fill="FFFFFF"/>
        <w:spacing w:before="15" w:after="15" w:line="315" w:lineRule="atLeast"/>
        <w:jc w:val="both"/>
        <w:rPr>
          <w:rFonts w:eastAsia="Times New Roman" w:cs="Times New Roman"/>
          <w:sz w:val="22"/>
          <w:szCs w:val="22"/>
        </w:rPr>
      </w:pPr>
      <w:r>
        <w:rPr>
          <w:rFonts w:eastAsia="Times New Roman" w:cs="Times New Roman"/>
          <w:sz w:val="22"/>
          <w:szCs w:val="22"/>
        </w:rPr>
        <w:t>Vortex for 5 seconds then centrifuge the sample for 1 minute at 14,000 x g to separate the phases.</w:t>
      </w:r>
    </w:p>
    <w:p w14:paraId="4A824AE1" w14:textId="77777777" w:rsidR="00E1612B" w:rsidRDefault="00E1612B" w:rsidP="00E1612B">
      <w:pPr>
        <w:numPr>
          <w:ilvl w:val="0"/>
          <w:numId w:val="2"/>
        </w:numPr>
        <w:shd w:val="clear" w:color="auto" w:fill="FFFFFF"/>
        <w:spacing w:before="15" w:after="15" w:line="315" w:lineRule="atLeast"/>
        <w:jc w:val="both"/>
        <w:rPr>
          <w:rFonts w:eastAsia="Times New Roman" w:cs="Times New Roman"/>
          <w:sz w:val="22"/>
          <w:szCs w:val="22"/>
        </w:rPr>
      </w:pPr>
      <w:r>
        <w:rPr>
          <w:rFonts w:eastAsia="Times New Roman" w:cs="Times New Roman"/>
          <w:sz w:val="22"/>
          <w:szCs w:val="22"/>
        </w:rPr>
        <w:t>Transfer the aqueous upper phase to a new tube. Repeat this extraction until the upper phase is clear.</w:t>
      </w:r>
    </w:p>
    <w:p w14:paraId="037F8351" w14:textId="77777777" w:rsidR="00E1612B" w:rsidRDefault="00E1612B" w:rsidP="00E1612B">
      <w:pPr>
        <w:numPr>
          <w:ilvl w:val="0"/>
          <w:numId w:val="2"/>
        </w:numPr>
        <w:shd w:val="clear" w:color="auto" w:fill="FFFFFF"/>
        <w:spacing w:before="15" w:after="15" w:line="315" w:lineRule="atLeast"/>
        <w:jc w:val="both"/>
        <w:rPr>
          <w:rFonts w:eastAsia="Times New Roman" w:cs="Times New Roman"/>
          <w:sz w:val="22"/>
          <w:szCs w:val="22"/>
        </w:rPr>
      </w:pPr>
      <w:r>
        <w:rPr>
          <w:rFonts w:eastAsia="Times New Roman" w:cs="Times New Roman"/>
          <w:sz w:val="22"/>
          <w:szCs w:val="22"/>
        </w:rPr>
        <w:t>Transfer the upper aqueous phase to a new tube.</w:t>
      </w:r>
    </w:p>
    <w:p w14:paraId="4DDD6B47" w14:textId="77777777" w:rsidR="00E1612B" w:rsidRDefault="00E1612B" w:rsidP="00E1612B">
      <w:pPr>
        <w:numPr>
          <w:ilvl w:val="0"/>
          <w:numId w:val="2"/>
        </w:numPr>
        <w:shd w:val="clear" w:color="auto" w:fill="FFFFFF"/>
        <w:spacing w:before="15" w:after="15" w:line="315" w:lineRule="atLeast"/>
        <w:jc w:val="both"/>
        <w:rPr>
          <w:rFonts w:eastAsia="Times New Roman" w:cs="Times New Roman"/>
          <w:sz w:val="22"/>
          <w:szCs w:val="22"/>
        </w:rPr>
      </w:pPr>
      <w:r>
        <w:rPr>
          <w:rFonts w:eastAsia="Times New Roman" w:cs="Times New Roman"/>
          <w:sz w:val="22"/>
          <w:szCs w:val="22"/>
        </w:rPr>
        <w:t>Add 0.7 volume cold isopropanol and incubate at -20°C for 15 minutes to precipitate the DNA.</w:t>
      </w:r>
    </w:p>
    <w:p w14:paraId="42696D1E" w14:textId="77777777" w:rsidR="00E1612B" w:rsidRDefault="00E1612B" w:rsidP="00E1612B">
      <w:pPr>
        <w:numPr>
          <w:ilvl w:val="0"/>
          <w:numId w:val="2"/>
        </w:numPr>
        <w:shd w:val="clear" w:color="auto" w:fill="FFFFFF"/>
        <w:spacing w:before="15" w:after="15" w:line="315" w:lineRule="atLeast"/>
        <w:jc w:val="both"/>
        <w:rPr>
          <w:rFonts w:eastAsia="Times New Roman" w:cs="Times New Roman"/>
          <w:sz w:val="22"/>
          <w:szCs w:val="22"/>
        </w:rPr>
      </w:pPr>
      <w:r>
        <w:rPr>
          <w:rFonts w:eastAsia="Times New Roman" w:cs="Times New Roman"/>
          <w:sz w:val="22"/>
          <w:szCs w:val="22"/>
        </w:rPr>
        <w:t>Centrifuge the sample at 14,000 x g for 10 minutes.</w:t>
      </w:r>
    </w:p>
    <w:p w14:paraId="618BE812" w14:textId="77777777" w:rsidR="00E1612B" w:rsidRDefault="00E1612B" w:rsidP="00E1612B">
      <w:pPr>
        <w:numPr>
          <w:ilvl w:val="0"/>
          <w:numId w:val="2"/>
        </w:numPr>
        <w:shd w:val="clear" w:color="auto" w:fill="FFFFFF"/>
        <w:spacing w:before="15" w:after="15" w:line="315" w:lineRule="atLeast"/>
        <w:jc w:val="both"/>
        <w:rPr>
          <w:rFonts w:eastAsia="Times New Roman" w:cs="Times New Roman"/>
          <w:sz w:val="22"/>
          <w:szCs w:val="22"/>
        </w:rPr>
      </w:pPr>
      <w:r>
        <w:rPr>
          <w:rFonts w:eastAsia="Times New Roman" w:cs="Times New Roman"/>
          <w:sz w:val="22"/>
          <w:szCs w:val="22"/>
        </w:rPr>
        <w:t>Decant the supernatant without disturbing the pellet and subsequently wash with 500 µl ice cold 70% ethanol.</w:t>
      </w:r>
    </w:p>
    <w:p w14:paraId="4F52E204" w14:textId="77777777" w:rsidR="00E1612B" w:rsidRDefault="00E1612B" w:rsidP="00E1612B">
      <w:pPr>
        <w:numPr>
          <w:ilvl w:val="0"/>
          <w:numId w:val="2"/>
        </w:numPr>
        <w:shd w:val="clear" w:color="auto" w:fill="FFFFFF"/>
        <w:spacing w:before="15" w:after="15" w:line="315" w:lineRule="atLeast"/>
        <w:jc w:val="both"/>
        <w:rPr>
          <w:rFonts w:eastAsia="Times New Roman" w:cs="Times New Roman"/>
          <w:sz w:val="22"/>
          <w:szCs w:val="22"/>
        </w:rPr>
      </w:pPr>
      <w:r>
        <w:rPr>
          <w:rFonts w:eastAsia="Times New Roman" w:cs="Times New Roman"/>
          <w:sz w:val="22"/>
          <w:szCs w:val="22"/>
        </w:rPr>
        <w:t>Decant the ethanol. Remove the residual ethanol by drying in a SpeedVac.</w:t>
      </w:r>
    </w:p>
    <w:p w14:paraId="39B58760" w14:textId="77777777" w:rsidR="00E1612B" w:rsidRDefault="00E1612B" w:rsidP="00E1612B">
      <w:pPr>
        <w:numPr>
          <w:ilvl w:val="0"/>
          <w:numId w:val="2"/>
        </w:numPr>
        <w:shd w:val="clear" w:color="auto" w:fill="FFFFFF"/>
        <w:spacing w:before="15" w:after="15" w:line="315" w:lineRule="atLeast"/>
        <w:jc w:val="both"/>
        <w:rPr>
          <w:rFonts w:eastAsia="Times New Roman" w:cs="Times New Roman"/>
          <w:sz w:val="22"/>
          <w:szCs w:val="22"/>
        </w:rPr>
      </w:pPr>
      <w:r>
        <w:rPr>
          <w:rFonts w:eastAsia="Times New Roman" w:cs="Times New Roman"/>
          <w:sz w:val="22"/>
          <w:szCs w:val="22"/>
        </w:rPr>
        <w:t>Dry the pellet long enough to remove alcohol, but without completely drying the DNA.</w:t>
      </w:r>
    </w:p>
    <w:p w14:paraId="04173223" w14:textId="77777777" w:rsidR="00E1612B" w:rsidRDefault="00E1612B" w:rsidP="00E1612B">
      <w:pPr>
        <w:numPr>
          <w:ilvl w:val="0"/>
          <w:numId w:val="2"/>
        </w:numPr>
        <w:shd w:val="clear" w:color="auto" w:fill="FFFFFF"/>
        <w:spacing w:before="15" w:after="15" w:line="315" w:lineRule="atLeast"/>
        <w:jc w:val="both"/>
        <w:rPr>
          <w:rFonts w:eastAsia="Times New Roman" w:cs="Times New Roman"/>
          <w:sz w:val="22"/>
          <w:szCs w:val="22"/>
        </w:rPr>
      </w:pPr>
      <w:r>
        <w:rPr>
          <w:rFonts w:eastAsia="Times New Roman" w:cs="Times New Roman"/>
          <w:sz w:val="22"/>
          <w:szCs w:val="22"/>
        </w:rPr>
        <w:t xml:space="preserve">Dissolve the DNA pellet in 20 µl TE buffer (10 mM Tris, pH 8, 1 mM EDTA). The pellet may need to be warmed, </w:t>
      </w:r>
      <w:proofErr w:type="gramStart"/>
      <w:r>
        <w:rPr>
          <w:rFonts w:eastAsia="Times New Roman" w:cs="Times New Roman"/>
          <w:sz w:val="22"/>
          <w:szCs w:val="22"/>
        </w:rPr>
        <w:t>in order to</w:t>
      </w:r>
      <w:proofErr w:type="gramEnd"/>
      <w:r>
        <w:rPr>
          <w:rFonts w:eastAsia="Times New Roman" w:cs="Times New Roman"/>
          <w:sz w:val="22"/>
          <w:szCs w:val="22"/>
        </w:rPr>
        <w:t xml:space="preserve"> dissolve.</w:t>
      </w:r>
    </w:p>
    <w:p w14:paraId="08EB2E67" w14:textId="77777777" w:rsidR="00E1612B" w:rsidRDefault="00E1612B" w:rsidP="00E1612B">
      <w:pPr>
        <w:shd w:val="clear" w:color="auto" w:fill="FFFFFF"/>
        <w:spacing w:before="75" w:after="75" w:line="240" w:lineRule="auto"/>
        <w:outlineLvl w:val="2"/>
        <w:rPr>
          <w:rFonts w:eastAsia="Times New Roman" w:cs="Times New Roman"/>
          <w:caps/>
          <w:sz w:val="22"/>
          <w:szCs w:val="22"/>
        </w:rPr>
      </w:pPr>
      <w:r>
        <w:rPr>
          <w:rFonts w:eastAsia="Times New Roman" w:cs="Times New Roman"/>
          <w:caps/>
          <w:sz w:val="22"/>
          <w:szCs w:val="22"/>
        </w:rPr>
        <w:t>OPTIONAL PROTOCOL:</w:t>
      </w:r>
    </w:p>
    <w:p w14:paraId="415FD60C" w14:textId="77777777" w:rsidR="00E1612B" w:rsidRDefault="00E1612B" w:rsidP="00E1612B">
      <w:pPr>
        <w:shd w:val="clear" w:color="auto" w:fill="FFFFFF"/>
        <w:spacing w:before="240" w:after="240" w:line="240" w:lineRule="auto"/>
        <w:jc w:val="both"/>
        <w:rPr>
          <w:rFonts w:eastAsia="Times New Roman" w:cs="Times New Roman"/>
          <w:sz w:val="22"/>
          <w:szCs w:val="22"/>
        </w:rPr>
      </w:pPr>
      <w:hyperlink r:id="rId10" w:history="1">
        <w:r>
          <w:rPr>
            <w:rStyle w:val="a3"/>
            <w:rFonts w:eastAsia="Times New Roman" w:cs="Times New Roman"/>
            <w:color w:val="auto"/>
            <w:sz w:val="22"/>
            <w:szCs w:val="22"/>
            <w:shd w:val="clear" w:color="auto" w:fill="FFFFFF"/>
          </w:rPr>
          <w:t>Protocol </w:t>
        </w:r>
      </w:hyperlink>
      <w:r>
        <w:rPr>
          <w:rFonts w:eastAsia="Times New Roman" w:cs="Times New Roman"/>
          <w:sz w:val="22"/>
          <w:szCs w:val="22"/>
        </w:rPr>
        <w:t>for higher quality DNA, using silica spin columns to further purify the DNA.</w:t>
      </w:r>
    </w:p>
    <w:p w14:paraId="74C005E0" w14:textId="77777777" w:rsidR="00E1612B" w:rsidRPr="00A76416" w:rsidRDefault="00E1612B" w:rsidP="00F952F7">
      <w:pPr>
        <w:spacing w:after="100" w:afterAutospacing="1" w:line="240" w:lineRule="auto"/>
        <w:ind w:left="57" w:right="57"/>
        <w:rPr>
          <w:rFonts w:cs="Times New Roman"/>
          <w:bCs/>
          <w:sz w:val="22"/>
          <w:szCs w:val="22"/>
        </w:rPr>
      </w:pPr>
    </w:p>
    <w:p w14:paraId="2A43D751" w14:textId="77777777" w:rsidR="00A76416" w:rsidRPr="00A76416" w:rsidRDefault="00A76416" w:rsidP="00F952F7">
      <w:pPr>
        <w:spacing w:after="100" w:afterAutospacing="1" w:line="240" w:lineRule="auto"/>
        <w:ind w:left="57" w:right="57"/>
        <w:rPr>
          <w:rFonts w:cs="Times New Roman"/>
          <w:b/>
          <w:bCs/>
          <w:sz w:val="22"/>
          <w:szCs w:val="22"/>
        </w:rPr>
      </w:pPr>
      <w:r w:rsidRPr="00A76416">
        <w:rPr>
          <w:rFonts w:cs="Times New Roman"/>
          <w:b/>
          <w:bCs/>
          <w:sz w:val="22"/>
          <w:szCs w:val="22"/>
        </w:rPr>
        <w:t>DNA extraction methods using silica and silica matrices</w:t>
      </w:r>
    </w:p>
    <w:p w14:paraId="07A81113" w14:textId="3E7774A3" w:rsidR="00A76416" w:rsidRDefault="00A76416" w:rsidP="00F952F7">
      <w:pPr>
        <w:spacing w:after="100" w:afterAutospacing="1" w:line="240" w:lineRule="auto"/>
        <w:ind w:left="57" w:right="57"/>
        <w:rPr>
          <w:rFonts w:cs="Times New Roman"/>
          <w:bCs/>
          <w:sz w:val="22"/>
          <w:szCs w:val="22"/>
        </w:rPr>
      </w:pPr>
      <w:r w:rsidRPr="00A76416">
        <w:rPr>
          <w:rFonts w:cs="Times New Roman"/>
          <w:bCs/>
          <w:sz w:val="22"/>
          <w:szCs w:val="22"/>
        </w:rPr>
        <w:t>Silica matrices have unique properties for DNA binding. They are positively charged and have high affinity toward the negative charge of the DNA backbone. High salt conditions and pH are achieved using sodium cations, which bind tightly to the negatively charged oxygen in the phosphate backbone of DNA. Contaminants are removed with a series of washing steps, followed by DNA elution under low ionic strength (pH ≥7) using TE buffer or sterile distilled water.A substance that contains high amounts of silica (up to 94%) known as kieselguhr, diatomite, or diatomaceous earth has also been used for DNA purification.</w:t>
      </w:r>
    </w:p>
    <w:p w14:paraId="07C26D28" w14:textId="77777777" w:rsidR="0040495B" w:rsidRPr="00A76416" w:rsidRDefault="0040495B" w:rsidP="00F952F7">
      <w:pPr>
        <w:spacing w:after="100" w:afterAutospacing="1" w:line="240" w:lineRule="auto"/>
        <w:ind w:left="57" w:right="57"/>
        <w:rPr>
          <w:rFonts w:cs="Times New Roman"/>
          <w:bCs/>
          <w:sz w:val="22"/>
          <w:szCs w:val="22"/>
        </w:rPr>
      </w:pPr>
    </w:p>
    <w:p w14:paraId="03961E15" w14:textId="77777777" w:rsidR="00AA6743" w:rsidRPr="00AA6743" w:rsidRDefault="00AA6743" w:rsidP="00F952F7">
      <w:pPr>
        <w:shd w:val="clear" w:color="auto" w:fill="FFFFFF"/>
        <w:spacing w:after="100" w:afterAutospacing="1" w:line="240" w:lineRule="auto"/>
        <w:ind w:left="57" w:right="57"/>
        <w:outlineLvl w:val="2"/>
        <w:rPr>
          <w:rFonts w:eastAsia="Times New Roman" w:cs="Times New Roman"/>
          <w:i/>
          <w:iCs/>
          <w:spacing w:val="-2"/>
          <w:sz w:val="22"/>
          <w:szCs w:val="22"/>
        </w:rPr>
      </w:pPr>
      <w:r w:rsidRPr="00AA6743">
        <w:rPr>
          <w:rFonts w:cs="Times New Roman"/>
          <w:b/>
          <w:sz w:val="22"/>
          <w:szCs w:val="22"/>
        </w:rPr>
        <w:t xml:space="preserve">Lab. work 3 </w:t>
      </w:r>
      <w:r w:rsidRPr="00AA6743">
        <w:rPr>
          <w:rFonts w:eastAsia="Times New Roman" w:cs="Times New Roman"/>
          <w:i/>
          <w:iCs/>
          <w:spacing w:val="-2"/>
          <w:sz w:val="22"/>
          <w:szCs w:val="22"/>
        </w:rPr>
        <w:t xml:space="preserve">Construction of recombinant DNA. </w:t>
      </w:r>
    </w:p>
    <w:p w14:paraId="35C799C4" w14:textId="10FB0F05" w:rsidR="00AA6743" w:rsidRPr="00AA6743" w:rsidRDefault="00AA6743" w:rsidP="00F952F7">
      <w:pPr>
        <w:shd w:val="clear" w:color="auto" w:fill="FFFFFF"/>
        <w:spacing w:after="100" w:afterAutospacing="1" w:line="240" w:lineRule="auto"/>
        <w:ind w:left="57" w:right="57"/>
        <w:outlineLvl w:val="2"/>
        <w:rPr>
          <w:rFonts w:eastAsia="Times New Roman" w:cs="Times New Roman"/>
          <w:spacing w:val="-2"/>
          <w:sz w:val="22"/>
          <w:szCs w:val="22"/>
        </w:rPr>
      </w:pPr>
      <w:r w:rsidRPr="00AA6743">
        <w:rPr>
          <w:rFonts w:eastAsia="Times New Roman" w:cs="Times New Roman"/>
          <w:spacing w:val="-2"/>
          <w:sz w:val="22"/>
          <w:szCs w:val="22"/>
        </w:rPr>
        <w:t>Creation of GM DNA</w:t>
      </w:r>
      <w:r>
        <w:rPr>
          <w:rFonts w:eastAsia="Times New Roman" w:cs="Times New Roman"/>
          <w:spacing w:val="-2"/>
          <w:sz w:val="22"/>
          <w:szCs w:val="22"/>
        </w:rPr>
        <w:t xml:space="preserve"> </w:t>
      </w:r>
      <w:r w:rsidRPr="00AA6743">
        <w:rPr>
          <w:rFonts w:eastAsia="Times New Roman" w:cs="Times New Roman"/>
          <w:spacing w:val="-2"/>
          <w:sz w:val="22"/>
          <w:szCs w:val="22"/>
        </w:rPr>
        <w:t>is a complex multi-step process. You should know that before</w:t>
      </w:r>
    </w:p>
    <w:p w14:paraId="164CD341" w14:textId="77777777" w:rsidR="00AA6743" w:rsidRDefault="00AA6743" w:rsidP="00F952F7">
      <w:pPr>
        <w:shd w:val="clear" w:color="auto" w:fill="FFFFFF"/>
        <w:spacing w:after="100" w:afterAutospacing="1" w:line="240" w:lineRule="auto"/>
        <w:ind w:left="57" w:right="57"/>
        <w:outlineLvl w:val="2"/>
        <w:rPr>
          <w:rFonts w:eastAsia="Times New Roman" w:cs="Times New Roman"/>
          <w:spacing w:val="-2"/>
          <w:sz w:val="22"/>
          <w:szCs w:val="22"/>
        </w:rPr>
      </w:pPr>
      <w:r w:rsidRPr="00AA6743">
        <w:rPr>
          <w:rFonts w:eastAsia="Times New Roman" w:cs="Times New Roman"/>
          <w:spacing w:val="-2"/>
          <w:sz w:val="22"/>
          <w:szCs w:val="22"/>
        </w:rPr>
        <w:t>DNA will be constructed that carry the necessary for transfer</w:t>
      </w:r>
      <w:r>
        <w:rPr>
          <w:rFonts w:eastAsia="Times New Roman" w:cs="Times New Roman"/>
          <w:spacing w:val="-2"/>
          <w:sz w:val="22"/>
          <w:szCs w:val="22"/>
        </w:rPr>
        <w:t xml:space="preserve"> </w:t>
      </w:r>
      <w:r w:rsidRPr="00AA6743">
        <w:rPr>
          <w:rFonts w:eastAsia="Times New Roman" w:cs="Times New Roman"/>
          <w:spacing w:val="-2"/>
          <w:sz w:val="22"/>
          <w:szCs w:val="22"/>
        </w:rPr>
        <w:t>genetic information, it is necessary to search for organisms, sources of target genes. Having decided on the donor organism, from it</w:t>
      </w:r>
      <w:r>
        <w:rPr>
          <w:rFonts w:eastAsia="Times New Roman" w:cs="Times New Roman"/>
          <w:spacing w:val="-2"/>
          <w:sz w:val="22"/>
          <w:szCs w:val="22"/>
        </w:rPr>
        <w:t xml:space="preserve"> </w:t>
      </w:r>
      <w:r w:rsidRPr="00AA6743">
        <w:rPr>
          <w:rFonts w:eastAsia="Times New Roman" w:cs="Times New Roman"/>
          <w:spacing w:val="-2"/>
          <w:sz w:val="22"/>
          <w:szCs w:val="22"/>
        </w:rPr>
        <w:t xml:space="preserve">DNA carrying the target gene is recovered. </w:t>
      </w:r>
    </w:p>
    <w:p w14:paraId="0B9E8455" w14:textId="7168D5BF" w:rsidR="00AA6743" w:rsidRPr="00AA6743" w:rsidRDefault="00AA6743" w:rsidP="00F952F7">
      <w:pPr>
        <w:shd w:val="clear" w:color="auto" w:fill="FFFFFF"/>
        <w:spacing w:after="100" w:afterAutospacing="1" w:line="240" w:lineRule="auto"/>
        <w:ind w:left="57" w:right="57"/>
        <w:outlineLvl w:val="2"/>
        <w:rPr>
          <w:rFonts w:eastAsia="Times New Roman" w:cs="Times New Roman"/>
          <w:spacing w:val="-2"/>
          <w:sz w:val="22"/>
          <w:szCs w:val="22"/>
        </w:rPr>
      </w:pPr>
      <w:r w:rsidRPr="00AA6743">
        <w:rPr>
          <w:rFonts w:eastAsia="Times New Roman" w:cs="Times New Roman"/>
          <w:spacing w:val="-2"/>
          <w:sz w:val="22"/>
          <w:szCs w:val="22"/>
        </w:rPr>
        <w:t>The researcher must be aware</w:t>
      </w:r>
      <w:r>
        <w:rPr>
          <w:rFonts w:eastAsia="Times New Roman" w:cs="Times New Roman"/>
          <w:spacing w:val="-2"/>
          <w:sz w:val="22"/>
          <w:szCs w:val="22"/>
        </w:rPr>
        <w:t xml:space="preserve"> </w:t>
      </w:r>
      <w:r w:rsidRPr="00AA6743">
        <w:rPr>
          <w:rFonts w:eastAsia="Times New Roman" w:cs="Times New Roman"/>
          <w:spacing w:val="-2"/>
          <w:sz w:val="22"/>
          <w:szCs w:val="22"/>
        </w:rPr>
        <w:t>gene characteristics, specific recognition sites in its structure,</w:t>
      </w:r>
    </w:p>
    <w:p w14:paraId="5B476AF2" w14:textId="77777777" w:rsidR="00AA6743" w:rsidRPr="00AA6743" w:rsidRDefault="00AA6743" w:rsidP="00F952F7">
      <w:pPr>
        <w:shd w:val="clear" w:color="auto" w:fill="FFFFFF"/>
        <w:spacing w:after="100" w:afterAutospacing="1" w:line="240" w:lineRule="auto"/>
        <w:ind w:left="57" w:right="57"/>
        <w:outlineLvl w:val="2"/>
        <w:rPr>
          <w:rFonts w:eastAsia="Times New Roman" w:cs="Times New Roman"/>
          <w:spacing w:val="-2"/>
          <w:sz w:val="22"/>
          <w:szCs w:val="22"/>
        </w:rPr>
      </w:pPr>
      <w:r w:rsidRPr="00AA6743">
        <w:rPr>
          <w:rFonts w:eastAsia="Times New Roman" w:cs="Times New Roman"/>
          <w:spacing w:val="-2"/>
          <w:sz w:val="22"/>
          <w:szCs w:val="22"/>
        </w:rPr>
        <w:t>allowing "cut" it from DNA. "Cutting out" of genes is carried out</w:t>
      </w:r>
    </w:p>
    <w:p w14:paraId="5DDEBD59" w14:textId="77777777" w:rsidR="00AA6743" w:rsidRPr="00AA6743" w:rsidRDefault="00AA6743" w:rsidP="00F952F7">
      <w:pPr>
        <w:shd w:val="clear" w:color="auto" w:fill="FFFFFF"/>
        <w:spacing w:after="100" w:afterAutospacing="1" w:line="240" w:lineRule="auto"/>
        <w:ind w:left="57" w:right="57"/>
        <w:outlineLvl w:val="2"/>
        <w:rPr>
          <w:rFonts w:eastAsia="Times New Roman" w:cs="Times New Roman"/>
          <w:spacing w:val="-2"/>
          <w:sz w:val="22"/>
          <w:szCs w:val="22"/>
        </w:rPr>
      </w:pPr>
      <w:r w:rsidRPr="00AA6743">
        <w:rPr>
          <w:rFonts w:eastAsia="Times New Roman" w:cs="Times New Roman"/>
          <w:spacing w:val="-2"/>
          <w:sz w:val="22"/>
          <w:szCs w:val="22"/>
        </w:rPr>
        <w:t>with the participation of enzymes of type II restriction endonucleases (restriction enzymes).</w:t>
      </w:r>
    </w:p>
    <w:p w14:paraId="7D45EC7E" w14:textId="77777777" w:rsidR="00AA6743" w:rsidRDefault="00AA6743" w:rsidP="00F952F7">
      <w:pPr>
        <w:shd w:val="clear" w:color="auto" w:fill="FFFFFF"/>
        <w:spacing w:after="100" w:afterAutospacing="1" w:line="240" w:lineRule="auto"/>
        <w:ind w:left="57" w:right="57"/>
        <w:outlineLvl w:val="2"/>
        <w:rPr>
          <w:rFonts w:eastAsia="Times New Roman" w:cs="Times New Roman"/>
          <w:spacing w:val="-2"/>
          <w:sz w:val="22"/>
          <w:szCs w:val="22"/>
        </w:rPr>
      </w:pPr>
      <w:r w:rsidRPr="00AA6743">
        <w:rPr>
          <w:rFonts w:eastAsia="Times New Roman" w:cs="Times New Roman"/>
          <w:spacing w:val="-2"/>
          <w:sz w:val="22"/>
          <w:szCs w:val="22"/>
        </w:rPr>
        <w:t>The student should be familiar with several basic types of restrictases used</w:t>
      </w:r>
      <w:r>
        <w:rPr>
          <w:rFonts w:eastAsia="Times New Roman" w:cs="Times New Roman"/>
          <w:spacing w:val="-2"/>
          <w:sz w:val="22"/>
          <w:szCs w:val="22"/>
        </w:rPr>
        <w:t xml:space="preserve"> </w:t>
      </w:r>
      <w:r w:rsidRPr="00AA6743">
        <w:rPr>
          <w:rFonts w:eastAsia="Times New Roman" w:cs="Times New Roman"/>
          <w:spacing w:val="-2"/>
          <w:sz w:val="22"/>
          <w:szCs w:val="22"/>
        </w:rPr>
        <w:t xml:space="preserve">to create GMOs: Eco RI, HpaI, HpaII, Bam HI, PstI NotI and others. </w:t>
      </w:r>
    </w:p>
    <w:p w14:paraId="0DBEE9BB" w14:textId="7D947E52" w:rsidR="00AA6743" w:rsidRPr="00AA6743" w:rsidRDefault="00AA6743" w:rsidP="00F952F7">
      <w:pPr>
        <w:shd w:val="clear" w:color="auto" w:fill="FFFFFF"/>
        <w:spacing w:after="100" w:afterAutospacing="1" w:line="240" w:lineRule="auto"/>
        <w:ind w:left="57" w:right="57"/>
        <w:outlineLvl w:val="2"/>
        <w:rPr>
          <w:rFonts w:eastAsia="Times New Roman" w:cs="Times New Roman"/>
          <w:spacing w:val="-2"/>
          <w:sz w:val="22"/>
          <w:szCs w:val="22"/>
        </w:rPr>
      </w:pPr>
      <w:r w:rsidRPr="00AA6743">
        <w:rPr>
          <w:rFonts w:eastAsia="Times New Roman" w:cs="Times New Roman"/>
          <w:spacing w:val="-2"/>
          <w:sz w:val="22"/>
          <w:szCs w:val="22"/>
        </w:rPr>
        <w:lastRenderedPageBreak/>
        <w:t>DNA-</w:t>
      </w:r>
      <w:r>
        <w:rPr>
          <w:rFonts w:eastAsia="Times New Roman" w:cs="Times New Roman"/>
          <w:spacing w:val="-2"/>
          <w:sz w:val="22"/>
          <w:szCs w:val="22"/>
        </w:rPr>
        <w:t xml:space="preserve"> </w:t>
      </w:r>
      <w:r w:rsidRPr="00AA6743">
        <w:rPr>
          <w:rFonts w:eastAsia="Times New Roman" w:cs="Times New Roman"/>
          <w:spacing w:val="-2"/>
          <w:sz w:val="22"/>
          <w:szCs w:val="22"/>
        </w:rPr>
        <w:t>T4 ligase is another important enzyme that provides stable</w:t>
      </w:r>
      <w:r>
        <w:rPr>
          <w:rFonts w:eastAsia="Times New Roman" w:cs="Times New Roman"/>
          <w:spacing w:val="-2"/>
          <w:sz w:val="22"/>
          <w:szCs w:val="22"/>
        </w:rPr>
        <w:t xml:space="preserve"> </w:t>
      </w:r>
      <w:r w:rsidRPr="00AA6743">
        <w:rPr>
          <w:rFonts w:eastAsia="Times New Roman" w:cs="Times New Roman"/>
          <w:spacing w:val="-2"/>
          <w:sz w:val="22"/>
          <w:szCs w:val="22"/>
        </w:rPr>
        <w:t>DNA double strand structure and target sequence crosslinking</w:t>
      </w:r>
      <w:r>
        <w:rPr>
          <w:rFonts w:eastAsia="Times New Roman" w:cs="Times New Roman"/>
          <w:spacing w:val="-2"/>
          <w:sz w:val="22"/>
          <w:szCs w:val="22"/>
        </w:rPr>
        <w:t xml:space="preserve"> </w:t>
      </w:r>
      <w:r w:rsidRPr="00AA6743">
        <w:rPr>
          <w:rFonts w:eastAsia="Times New Roman" w:cs="Times New Roman"/>
          <w:spacing w:val="-2"/>
          <w:sz w:val="22"/>
          <w:szCs w:val="22"/>
        </w:rPr>
        <w:t>nucleotides with the vector.</w:t>
      </w:r>
    </w:p>
    <w:p w14:paraId="44F3047E" w14:textId="168E01B3" w:rsidR="00AA6743" w:rsidRPr="00AA6743" w:rsidRDefault="00AA6743" w:rsidP="00F952F7">
      <w:pPr>
        <w:shd w:val="clear" w:color="auto" w:fill="FFFFFF"/>
        <w:spacing w:after="100" w:afterAutospacing="1" w:line="240" w:lineRule="auto"/>
        <w:ind w:left="57" w:right="57"/>
        <w:outlineLvl w:val="2"/>
        <w:rPr>
          <w:rFonts w:eastAsia="Times New Roman" w:cs="Times New Roman"/>
          <w:spacing w:val="-2"/>
          <w:sz w:val="22"/>
          <w:szCs w:val="22"/>
        </w:rPr>
      </w:pPr>
      <w:r w:rsidRPr="00AA6743">
        <w:rPr>
          <w:rFonts w:eastAsia="Times New Roman" w:cs="Times New Roman"/>
          <w:i/>
          <w:iCs/>
          <w:spacing w:val="-2"/>
          <w:sz w:val="22"/>
          <w:szCs w:val="22"/>
        </w:rPr>
        <w:t>Choice of cloning vector (gene transfer)</w:t>
      </w:r>
      <w:r w:rsidRPr="00AA6743">
        <w:rPr>
          <w:rFonts w:eastAsia="Times New Roman" w:cs="Times New Roman"/>
          <w:spacing w:val="-2"/>
          <w:sz w:val="22"/>
          <w:szCs w:val="22"/>
        </w:rPr>
        <w:t xml:space="preserve"> – next</w:t>
      </w:r>
      <w:r>
        <w:rPr>
          <w:rFonts w:eastAsia="Times New Roman" w:cs="Times New Roman"/>
          <w:spacing w:val="-2"/>
          <w:sz w:val="22"/>
          <w:szCs w:val="22"/>
        </w:rPr>
        <w:t xml:space="preserve"> </w:t>
      </w:r>
      <w:r w:rsidRPr="00AA6743">
        <w:rPr>
          <w:rFonts w:eastAsia="Times New Roman" w:cs="Times New Roman"/>
          <w:spacing w:val="-2"/>
          <w:sz w:val="22"/>
          <w:szCs w:val="22"/>
        </w:rPr>
        <w:t>an important step in the creation of recombinant DNA. It should be emphasized that</w:t>
      </w:r>
      <w:r>
        <w:rPr>
          <w:rFonts w:eastAsia="Times New Roman" w:cs="Times New Roman"/>
          <w:spacing w:val="-2"/>
          <w:sz w:val="22"/>
          <w:szCs w:val="22"/>
        </w:rPr>
        <w:t xml:space="preserve"> </w:t>
      </w:r>
      <w:r w:rsidRPr="00AA6743">
        <w:rPr>
          <w:rFonts w:eastAsia="Times New Roman" w:cs="Times New Roman"/>
          <w:spacing w:val="-2"/>
          <w:sz w:val="22"/>
          <w:szCs w:val="22"/>
        </w:rPr>
        <w:t>vectors serve both to transfer the target gene into the organism being exposed</w:t>
      </w:r>
    </w:p>
    <w:p w14:paraId="3A001C5B" w14:textId="77777777" w:rsidR="00AA6743" w:rsidRPr="00AA6743" w:rsidRDefault="00AA6743" w:rsidP="00F952F7">
      <w:pPr>
        <w:shd w:val="clear" w:color="auto" w:fill="FFFFFF"/>
        <w:spacing w:after="100" w:afterAutospacing="1" w:line="240" w:lineRule="auto"/>
        <w:ind w:left="57" w:right="57"/>
        <w:outlineLvl w:val="2"/>
        <w:rPr>
          <w:rFonts w:eastAsia="Times New Roman" w:cs="Times New Roman"/>
          <w:spacing w:val="-2"/>
          <w:sz w:val="22"/>
          <w:szCs w:val="22"/>
        </w:rPr>
      </w:pPr>
      <w:r w:rsidRPr="00AA6743">
        <w:rPr>
          <w:rFonts w:eastAsia="Times New Roman" w:cs="Times New Roman"/>
          <w:spacing w:val="-2"/>
          <w:sz w:val="22"/>
          <w:szCs w:val="22"/>
        </w:rPr>
        <w:t>transgenosis (host organism), and for replication in the cell of the organism -</w:t>
      </w:r>
    </w:p>
    <w:p w14:paraId="22847310" w14:textId="77777777" w:rsidR="00AA6743" w:rsidRDefault="00AA6743" w:rsidP="00F952F7">
      <w:pPr>
        <w:shd w:val="clear" w:color="auto" w:fill="FFFFFF"/>
        <w:spacing w:after="100" w:afterAutospacing="1" w:line="240" w:lineRule="auto"/>
        <w:ind w:left="57" w:right="57"/>
        <w:outlineLvl w:val="2"/>
        <w:rPr>
          <w:rFonts w:eastAsia="Times New Roman" w:cs="Times New Roman"/>
          <w:spacing w:val="-2"/>
          <w:sz w:val="22"/>
          <w:szCs w:val="22"/>
        </w:rPr>
      </w:pPr>
      <w:r w:rsidRPr="00AA6743">
        <w:rPr>
          <w:rFonts w:eastAsia="Times New Roman" w:cs="Times New Roman"/>
          <w:spacing w:val="-2"/>
          <w:sz w:val="22"/>
          <w:szCs w:val="22"/>
        </w:rPr>
        <w:t xml:space="preserve">recombinant DNA host. </w:t>
      </w:r>
    </w:p>
    <w:p w14:paraId="3D8C2A66" w14:textId="454FB52C" w:rsidR="00AA6743" w:rsidRPr="00AA6743" w:rsidRDefault="00AA6743" w:rsidP="00F952F7">
      <w:pPr>
        <w:shd w:val="clear" w:color="auto" w:fill="FFFFFF"/>
        <w:spacing w:after="100" w:afterAutospacing="1" w:line="240" w:lineRule="auto"/>
        <w:ind w:left="57" w:right="57"/>
        <w:outlineLvl w:val="2"/>
        <w:rPr>
          <w:rFonts w:eastAsia="Times New Roman" w:cs="Times New Roman"/>
          <w:spacing w:val="-2"/>
          <w:sz w:val="22"/>
          <w:szCs w:val="22"/>
        </w:rPr>
      </w:pPr>
      <w:r w:rsidRPr="00AA6743">
        <w:rPr>
          <w:rFonts w:eastAsia="Times New Roman" w:cs="Times New Roman"/>
          <w:spacing w:val="-2"/>
          <w:sz w:val="22"/>
          <w:szCs w:val="22"/>
        </w:rPr>
        <w:t>Therefore, the cloning vector must</w:t>
      </w:r>
      <w:r>
        <w:rPr>
          <w:rFonts w:eastAsia="Times New Roman" w:cs="Times New Roman"/>
          <w:spacing w:val="-2"/>
          <w:sz w:val="22"/>
          <w:szCs w:val="22"/>
        </w:rPr>
        <w:t xml:space="preserve"> </w:t>
      </w:r>
      <w:r w:rsidRPr="00AA6743">
        <w:rPr>
          <w:rFonts w:eastAsia="Times New Roman" w:cs="Times New Roman"/>
          <w:spacing w:val="-2"/>
          <w:sz w:val="22"/>
          <w:szCs w:val="22"/>
        </w:rPr>
        <w:t>contain elements of replicative systems. Currently for</w:t>
      </w:r>
      <w:r>
        <w:rPr>
          <w:rFonts w:eastAsia="Times New Roman" w:cs="Times New Roman"/>
          <w:spacing w:val="-2"/>
          <w:sz w:val="22"/>
          <w:szCs w:val="22"/>
        </w:rPr>
        <w:t xml:space="preserve"> </w:t>
      </w:r>
      <w:r w:rsidRPr="00AA6743">
        <w:rPr>
          <w:rFonts w:eastAsia="Times New Roman" w:cs="Times New Roman"/>
          <w:spacing w:val="-2"/>
          <w:sz w:val="22"/>
          <w:szCs w:val="22"/>
        </w:rPr>
        <w:t>transgenesis uses different types of vectors, for example: bacterial</w:t>
      </w:r>
      <w:r>
        <w:rPr>
          <w:rFonts w:eastAsia="Times New Roman" w:cs="Times New Roman"/>
          <w:spacing w:val="-2"/>
          <w:sz w:val="22"/>
          <w:szCs w:val="22"/>
        </w:rPr>
        <w:t xml:space="preserve"> </w:t>
      </w:r>
      <w:r w:rsidRPr="00AA6743">
        <w:rPr>
          <w:rFonts w:eastAsia="Times New Roman" w:cs="Times New Roman"/>
          <w:spacing w:val="-2"/>
          <w:sz w:val="22"/>
          <w:szCs w:val="22"/>
        </w:rPr>
        <w:t>plasmids (pBR 322, pUC 19, Ti and Ri plasmids of agrobacteria, etc.) viruses</w:t>
      </w:r>
      <w:r>
        <w:rPr>
          <w:rFonts w:eastAsia="Times New Roman" w:cs="Times New Roman"/>
          <w:spacing w:val="-2"/>
          <w:sz w:val="22"/>
          <w:szCs w:val="22"/>
        </w:rPr>
        <w:t xml:space="preserve"> </w:t>
      </w:r>
      <w:r w:rsidRPr="00AA6743">
        <w:rPr>
          <w:rFonts w:eastAsia="Times New Roman" w:cs="Times New Roman"/>
          <w:spacing w:val="-2"/>
          <w:sz w:val="22"/>
          <w:szCs w:val="22"/>
        </w:rPr>
        <w:t>(bacteriophage ?), cosmids (vectors combining features of plasmids and phage ?),</w:t>
      </w:r>
    </w:p>
    <w:p w14:paraId="454356E2" w14:textId="77777777" w:rsidR="00AA6743" w:rsidRPr="00AA6743" w:rsidRDefault="00AA6743" w:rsidP="00F952F7">
      <w:pPr>
        <w:shd w:val="clear" w:color="auto" w:fill="FFFFFF"/>
        <w:spacing w:after="100" w:afterAutospacing="1" w:line="240" w:lineRule="auto"/>
        <w:ind w:left="57" w:right="57"/>
        <w:outlineLvl w:val="2"/>
        <w:rPr>
          <w:rFonts w:eastAsia="Times New Roman" w:cs="Times New Roman"/>
          <w:spacing w:val="-2"/>
          <w:sz w:val="22"/>
          <w:szCs w:val="22"/>
        </w:rPr>
      </w:pPr>
      <w:r w:rsidRPr="00AA6743">
        <w:rPr>
          <w:rFonts w:eastAsia="Times New Roman" w:cs="Times New Roman"/>
          <w:spacing w:val="-2"/>
          <w:sz w:val="22"/>
          <w:szCs w:val="22"/>
        </w:rPr>
        <w:t>chimeric constructs (plasmid vector based on P1 phage),</w:t>
      </w:r>
    </w:p>
    <w:p w14:paraId="23E232B2" w14:textId="77777777" w:rsidR="00AA6743" w:rsidRDefault="00AA6743" w:rsidP="00F952F7">
      <w:pPr>
        <w:shd w:val="clear" w:color="auto" w:fill="FFFFFF"/>
        <w:spacing w:after="100" w:afterAutospacing="1" w:line="240" w:lineRule="auto"/>
        <w:ind w:left="57" w:right="57"/>
        <w:outlineLvl w:val="2"/>
        <w:rPr>
          <w:rFonts w:eastAsia="Times New Roman" w:cs="Times New Roman"/>
          <w:spacing w:val="-2"/>
          <w:sz w:val="22"/>
          <w:szCs w:val="22"/>
        </w:rPr>
      </w:pPr>
      <w:r w:rsidRPr="00AA6743">
        <w:rPr>
          <w:rFonts w:eastAsia="Times New Roman" w:cs="Times New Roman"/>
          <w:spacing w:val="-2"/>
          <w:sz w:val="22"/>
          <w:szCs w:val="22"/>
        </w:rPr>
        <w:t xml:space="preserve">artificial bacterial chromosome (BAC) and others. </w:t>
      </w:r>
    </w:p>
    <w:p w14:paraId="79947EA6" w14:textId="541F2291" w:rsidR="00AA6743" w:rsidRPr="00A766C6" w:rsidRDefault="00AA6743" w:rsidP="00F952F7">
      <w:pPr>
        <w:shd w:val="clear" w:color="auto" w:fill="FFFFFF"/>
        <w:spacing w:after="100" w:afterAutospacing="1" w:line="240" w:lineRule="auto"/>
        <w:ind w:left="57" w:right="57"/>
        <w:outlineLvl w:val="2"/>
        <w:rPr>
          <w:rFonts w:eastAsia="Times New Roman" w:cs="Times New Roman"/>
          <w:i/>
          <w:iCs/>
          <w:spacing w:val="-2"/>
          <w:sz w:val="22"/>
          <w:szCs w:val="22"/>
        </w:rPr>
      </w:pPr>
      <w:r w:rsidRPr="00A766C6">
        <w:rPr>
          <w:rFonts w:eastAsia="Times New Roman" w:cs="Times New Roman"/>
          <w:i/>
          <w:iCs/>
          <w:spacing w:val="-2"/>
          <w:sz w:val="22"/>
          <w:szCs w:val="22"/>
        </w:rPr>
        <w:t>Special attention</w:t>
      </w:r>
      <w:r w:rsidR="00A766C6">
        <w:rPr>
          <w:rFonts w:eastAsia="Times New Roman" w:cs="Times New Roman"/>
          <w:i/>
          <w:iCs/>
          <w:spacing w:val="-2"/>
          <w:sz w:val="22"/>
          <w:szCs w:val="22"/>
        </w:rPr>
        <w:t xml:space="preserve"> </w:t>
      </w:r>
      <w:r w:rsidRPr="00AA6743">
        <w:rPr>
          <w:rFonts w:eastAsia="Times New Roman" w:cs="Times New Roman"/>
          <w:spacing w:val="-2"/>
          <w:sz w:val="22"/>
          <w:szCs w:val="22"/>
        </w:rPr>
        <w:t>should be given to Ti and Ri plasmids of agrobacteria, which are</w:t>
      </w:r>
      <w:r w:rsidR="00A766C6">
        <w:rPr>
          <w:rFonts w:eastAsia="Times New Roman" w:cs="Times New Roman"/>
          <w:i/>
          <w:iCs/>
          <w:spacing w:val="-2"/>
          <w:sz w:val="22"/>
          <w:szCs w:val="22"/>
        </w:rPr>
        <w:t xml:space="preserve"> </w:t>
      </w:r>
      <w:r w:rsidRPr="00AA6743">
        <w:rPr>
          <w:rFonts w:eastAsia="Times New Roman" w:cs="Times New Roman"/>
          <w:spacing w:val="-2"/>
          <w:sz w:val="22"/>
          <w:szCs w:val="22"/>
        </w:rPr>
        <w:t>the main type of vectors for creating GM plants. The student must</w:t>
      </w:r>
      <w:r w:rsidR="00A766C6">
        <w:rPr>
          <w:rFonts w:eastAsia="Times New Roman" w:cs="Times New Roman"/>
          <w:i/>
          <w:iCs/>
          <w:spacing w:val="-2"/>
          <w:sz w:val="22"/>
          <w:szCs w:val="22"/>
        </w:rPr>
        <w:t xml:space="preserve"> </w:t>
      </w:r>
      <w:r w:rsidRPr="00AA6743">
        <w:rPr>
          <w:rFonts w:eastAsia="Times New Roman" w:cs="Times New Roman"/>
          <w:spacing w:val="-2"/>
          <w:sz w:val="22"/>
          <w:szCs w:val="22"/>
        </w:rPr>
        <w:t>represent the structure of nopaline and octopine agrobacterial</w:t>
      </w:r>
    </w:p>
    <w:p w14:paraId="1FA9AE72" w14:textId="08FD4D24" w:rsidR="00AA6743" w:rsidRPr="00AA6743" w:rsidRDefault="00AA6743" w:rsidP="00F952F7">
      <w:pPr>
        <w:shd w:val="clear" w:color="auto" w:fill="FFFFFF"/>
        <w:spacing w:after="100" w:afterAutospacing="1" w:line="240" w:lineRule="auto"/>
        <w:ind w:left="57" w:right="57"/>
        <w:outlineLvl w:val="2"/>
        <w:rPr>
          <w:rFonts w:eastAsia="Times New Roman" w:cs="Times New Roman"/>
          <w:spacing w:val="-2"/>
          <w:sz w:val="22"/>
          <w:szCs w:val="22"/>
        </w:rPr>
      </w:pPr>
      <w:r w:rsidRPr="00AA6743">
        <w:rPr>
          <w:rFonts w:eastAsia="Times New Roman" w:cs="Times New Roman"/>
          <w:spacing w:val="-2"/>
          <w:sz w:val="22"/>
          <w:szCs w:val="22"/>
        </w:rPr>
        <w:t>plasmid, T-DNA region device, characterize agrobacterial</w:t>
      </w:r>
      <w:r w:rsidR="00A766C6">
        <w:rPr>
          <w:rFonts w:eastAsia="Times New Roman" w:cs="Times New Roman"/>
          <w:spacing w:val="-2"/>
          <w:sz w:val="22"/>
          <w:szCs w:val="22"/>
        </w:rPr>
        <w:t xml:space="preserve"> </w:t>
      </w:r>
      <w:r w:rsidRPr="00AA6743">
        <w:rPr>
          <w:rFonts w:eastAsia="Times New Roman" w:cs="Times New Roman"/>
          <w:spacing w:val="-2"/>
          <w:sz w:val="22"/>
          <w:szCs w:val="22"/>
        </w:rPr>
        <w:t>oncogenes, virulence region, conjugative transfer genes, region</w:t>
      </w:r>
      <w:r w:rsidR="00A766C6">
        <w:rPr>
          <w:rFonts w:eastAsia="Times New Roman" w:cs="Times New Roman"/>
          <w:spacing w:val="-2"/>
          <w:sz w:val="22"/>
          <w:szCs w:val="22"/>
        </w:rPr>
        <w:t xml:space="preserve"> </w:t>
      </w:r>
      <w:r w:rsidRPr="00AA6743">
        <w:rPr>
          <w:rFonts w:eastAsia="Times New Roman" w:cs="Times New Roman"/>
          <w:spacing w:val="-2"/>
          <w:sz w:val="22"/>
          <w:szCs w:val="22"/>
        </w:rPr>
        <w:t>replication.</w:t>
      </w:r>
    </w:p>
    <w:p w14:paraId="65D45256" w14:textId="66B3A70D" w:rsidR="00A766C6" w:rsidRPr="00A766C6" w:rsidRDefault="00AA6743" w:rsidP="00F952F7">
      <w:pPr>
        <w:shd w:val="clear" w:color="auto" w:fill="FFFFFF"/>
        <w:spacing w:after="100" w:afterAutospacing="1" w:line="240" w:lineRule="auto"/>
        <w:ind w:left="57" w:right="57"/>
        <w:outlineLvl w:val="2"/>
        <w:rPr>
          <w:rFonts w:eastAsia="Times New Roman" w:cs="Times New Roman"/>
          <w:spacing w:val="-2"/>
          <w:sz w:val="22"/>
          <w:szCs w:val="22"/>
        </w:rPr>
      </w:pPr>
      <w:r w:rsidRPr="00AA6743">
        <w:rPr>
          <w:rFonts w:eastAsia="Times New Roman" w:cs="Times New Roman"/>
          <w:spacing w:val="-2"/>
          <w:sz w:val="22"/>
          <w:szCs w:val="22"/>
        </w:rPr>
        <w:t>The target gene must not only be transferred into the host cell, but also</w:t>
      </w:r>
      <w:r w:rsidR="00A766C6">
        <w:rPr>
          <w:rFonts w:eastAsia="Times New Roman" w:cs="Times New Roman"/>
          <w:spacing w:val="-2"/>
          <w:sz w:val="22"/>
          <w:szCs w:val="22"/>
        </w:rPr>
        <w:t xml:space="preserve"> </w:t>
      </w:r>
      <w:r w:rsidRPr="00AA6743">
        <w:rPr>
          <w:rFonts w:eastAsia="Times New Roman" w:cs="Times New Roman"/>
          <w:spacing w:val="-2"/>
          <w:sz w:val="22"/>
          <w:szCs w:val="22"/>
        </w:rPr>
        <w:t>be expressed in it. To achieve efficient expression</w:t>
      </w:r>
      <w:r w:rsidR="00A766C6">
        <w:rPr>
          <w:rFonts w:eastAsia="Times New Roman" w:cs="Times New Roman"/>
          <w:spacing w:val="-2"/>
          <w:sz w:val="22"/>
          <w:szCs w:val="22"/>
        </w:rPr>
        <w:t xml:space="preserve"> </w:t>
      </w:r>
      <w:r w:rsidRPr="00AA6743">
        <w:rPr>
          <w:rFonts w:eastAsia="Times New Roman" w:cs="Times New Roman"/>
          <w:spacing w:val="-2"/>
          <w:sz w:val="22"/>
          <w:szCs w:val="22"/>
        </w:rPr>
        <w:t>vector constructs must contain additional genetic</w:t>
      </w:r>
      <w:r w:rsidR="00A766C6">
        <w:rPr>
          <w:rFonts w:eastAsia="Times New Roman" w:cs="Times New Roman"/>
          <w:spacing w:val="-2"/>
          <w:sz w:val="22"/>
          <w:szCs w:val="22"/>
        </w:rPr>
        <w:t xml:space="preserve"> </w:t>
      </w:r>
      <w:r w:rsidR="00A766C6" w:rsidRPr="00A766C6">
        <w:rPr>
          <w:rFonts w:eastAsia="Times New Roman" w:cs="Times New Roman"/>
          <w:spacing w:val="-2"/>
          <w:sz w:val="22"/>
          <w:szCs w:val="22"/>
        </w:rPr>
        <w:t>elements that control transcription and translation, such as strong</w:t>
      </w:r>
      <w:r w:rsidR="00A766C6">
        <w:rPr>
          <w:rFonts w:eastAsia="Times New Roman" w:cs="Times New Roman"/>
          <w:spacing w:val="-2"/>
          <w:sz w:val="22"/>
          <w:szCs w:val="22"/>
        </w:rPr>
        <w:t xml:space="preserve"> </w:t>
      </w:r>
      <w:r w:rsidR="00A766C6" w:rsidRPr="00A766C6">
        <w:rPr>
          <w:rFonts w:eastAsia="Times New Roman" w:cs="Times New Roman"/>
          <w:spacing w:val="-2"/>
          <w:sz w:val="22"/>
          <w:szCs w:val="22"/>
        </w:rPr>
        <w:t>a promoter (eg, lac, trp, tac, 35S, etc.); and a transcription terminator.</w:t>
      </w:r>
    </w:p>
    <w:p w14:paraId="1A20DF47" w14:textId="77777777" w:rsidR="00A766C6" w:rsidRDefault="00A766C6" w:rsidP="00F952F7">
      <w:pPr>
        <w:shd w:val="clear" w:color="auto" w:fill="FFFFFF"/>
        <w:spacing w:after="100" w:afterAutospacing="1" w:line="240" w:lineRule="auto"/>
        <w:ind w:left="57" w:right="57" w:firstLine="720"/>
        <w:outlineLvl w:val="2"/>
        <w:rPr>
          <w:rFonts w:eastAsia="Times New Roman" w:cs="Times New Roman"/>
          <w:spacing w:val="-2"/>
          <w:sz w:val="22"/>
          <w:szCs w:val="22"/>
        </w:rPr>
      </w:pPr>
      <w:r w:rsidRPr="00A766C6">
        <w:rPr>
          <w:rFonts w:eastAsia="Times New Roman" w:cs="Times New Roman"/>
          <w:spacing w:val="-2"/>
          <w:sz w:val="22"/>
          <w:szCs w:val="22"/>
        </w:rPr>
        <w:t>In addition, it is important to ensure the stability of proteins and their secretion in</w:t>
      </w:r>
      <w:r>
        <w:rPr>
          <w:rFonts w:eastAsia="Times New Roman" w:cs="Times New Roman"/>
          <w:spacing w:val="-2"/>
          <w:sz w:val="22"/>
          <w:szCs w:val="22"/>
        </w:rPr>
        <w:t xml:space="preserve">  </w:t>
      </w:r>
      <w:r w:rsidRPr="00A766C6">
        <w:rPr>
          <w:rFonts w:eastAsia="Times New Roman" w:cs="Times New Roman"/>
          <w:spacing w:val="-2"/>
          <w:sz w:val="22"/>
          <w:szCs w:val="22"/>
        </w:rPr>
        <w:t>host organism. Expression systems must also provide</w:t>
      </w:r>
      <w:r>
        <w:rPr>
          <w:rFonts w:eastAsia="Times New Roman" w:cs="Times New Roman"/>
          <w:spacing w:val="-2"/>
          <w:sz w:val="22"/>
          <w:szCs w:val="22"/>
        </w:rPr>
        <w:t xml:space="preserve"> </w:t>
      </w:r>
      <w:r w:rsidRPr="00A766C6">
        <w:rPr>
          <w:rFonts w:eastAsia="Times New Roman" w:cs="Times New Roman"/>
          <w:spacing w:val="-2"/>
          <w:sz w:val="22"/>
          <w:szCs w:val="22"/>
        </w:rPr>
        <w:t>the strength of mRNA binding to the ribosome, a sufficient number of copies</w:t>
      </w:r>
      <w:r>
        <w:rPr>
          <w:rFonts w:eastAsia="Times New Roman" w:cs="Times New Roman"/>
          <w:spacing w:val="-2"/>
          <w:sz w:val="22"/>
          <w:szCs w:val="22"/>
        </w:rPr>
        <w:t xml:space="preserve"> </w:t>
      </w:r>
      <w:r w:rsidRPr="00A766C6">
        <w:rPr>
          <w:rFonts w:eastAsia="Times New Roman" w:cs="Times New Roman"/>
          <w:spacing w:val="-2"/>
          <w:sz w:val="22"/>
          <w:szCs w:val="22"/>
        </w:rPr>
        <w:t>cloned gene, efficient translation and product stability in</w:t>
      </w:r>
      <w:r>
        <w:rPr>
          <w:rFonts w:eastAsia="Times New Roman" w:cs="Times New Roman"/>
          <w:spacing w:val="-2"/>
          <w:sz w:val="22"/>
          <w:szCs w:val="22"/>
        </w:rPr>
        <w:t xml:space="preserve"> </w:t>
      </w:r>
      <w:r w:rsidRPr="00A766C6">
        <w:rPr>
          <w:rFonts w:eastAsia="Times New Roman" w:cs="Times New Roman"/>
          <w:spacing w:val="-2"/>
          <w:sz w:val="22"/>
          <w:szCs w:val="22"/>
        </w:rPr>
        <w:t xml:space="preserve">host cell. </w:t>
      </w:r>
    </w:p>
    <w:p w14:paraId="12D6DBC7" w14:textId="77777777" w:rsidR="00A766C6" w:rsidRDefault="00A766C6" w:rsidP="00F952F7">
      <w:pPr>
        <w:shd w:val="clear" w:color="auto" w:fill="FFFFFF"/>
        <w:spacing w:after="100" w:afterAutospacing="1" w:line="240" w:lineRule="auto"/>
        <w:ind w:left="57" w:right="57" w:firstLine="720"/>
        <w:outlineLvl w:val="2"/>
        <w:rPr>
          <w:rFonts w:eastAsia="Times New Roman" w:cs="Times New Roman"/>
          <w:spacing w:val="-2"/>
          <w:sz w:val="22"/>
          <w:szCs w:val="22"/>
        </w:rPr>
      </w:pPr>
      <w:r w:rsidRPr="00A766C6">
        <w:rPr>
          <w:rFonts w:eastAsia="Times New Roman" w:cs="Times New Roman"/>
          <w:i/>
          <w:iCs/>
          <w:spacing w:val="-2"/>
          <w:sz w:val="22"/>
          <w:szCs w:val="22"/>
        </w:rPr>
        <w:t>Main types of expression systems</w:t>
      </w:r>
      <w:r w:rsidRPr="00A766C6">
        <w:rPr>
          <w:rFonts w:eastAsia="Times New Roman" w:cs="Times New Roman"/>
          <w:spacing w:val="-2"/>
          <w:sz w:val="22"/>
          <w:szCs w:val="22"/>
        </w:rPr>
        <w:t xml:space="preserve">: </w:t>
      </w:r>
    </w:p>
    <w:p w14:paraId="53FEABC9" w14:textId="77777777" w:rsidR="0040495B" w:rsidRPr="0040495B" w:rsidRDefault="00A766C6" w:rsidP="00F952F7">
      <w:pPr>
        <w:shd w:val="clear" w:color="auto" w:fill="FFFFFF"/>
        <w:spacing w:after="100" w:afterAutospacing="1" w:line="240" w:lineRule="auto"/>
        <w:ind w:left="57" w:right="57" w:firstLine="720"/>
        <w:outlineLvl w:val="2"/>
        <w:rPr>
          <w:rFonts w:eastAsia="Times New Roman" w:cs="Times New Roman"/>
          <w:i/>
          <w:iCs/>
          <w:spacing w:val="-2"/>
          <w:sz w:val="22"/>
          <w:szCs w:val="22"/>
        </w:rPr>
      </w:pPr>
      <w:r w:rsidRPr="0040495B">
        <w:rPr>
          <w:rFonts w:eastAsia="Times New Roman" w:cs="Times New Roman"/>
          <w:i/>
          <w:iCs/>
          <w:spacing w:val="-2"/>
          <w:sz w:val="22"/>
          <w:szCs w:val="22"/>
        </w:rPr>
        <w:t xml:space="preserve">Yeast Saccharomyces cerevisiae, </w:t>
      </w:r>
    </w:p>
    <w:p w14:paraId="69EF2082" w14:textId="77777777" w:rsidR="0040495B" w:rsidRPr="0040495B" w:rsidRDefault="00A766C6" w:rsidP="00F952F7">
      <w:pPr>
        <w:shd w:val="clear" w:color="auto" w:fill="FFFFFF"/>
        <w:spacing w:after="100" w:afterAutospacing="1" w:line="240" w:lineRule="auto"/>
        <w:ind w:left="57" w:right="57" w:firstLine="720"/>
        <w:outlineLvl w:val="2"/>
        <w:rPr>
          <w:rFonts w:eastAsia="Times New Roman" w:cs="Times New Roman"/>
          <w:i/>
          <w:iCs/>
          <w:spacing w:val="-2"/>
          <w:sz w:val="22"/>
          <w:szCs w:val="22"/>
        </w:rPr>
      </w:pPr>
      <w:r w:rsidRPr="0040495B">
        <w:rPr>
          <w:rFonts w:eastAsia="Times New Roman" w:cs="Times New Roman"/>
          <w:i/>
          <w:iCs/>
          <w:spacing w:val="-2"/>
          <w:sz w:val="22"/>
          <w:szCs w:val="22"/>
        </w:rPr>
        <w:t xml:space="preserve">Kluyveromyces lactis, </w:t>
      </w:r>
    </w:p>
    <w:p w14:paraId="74FBD6C6" w14:textId="77777777" w:rsidR="0040495B" w:rsidRDefault="00A766C6" w:rsidP="00F952F7">
      <w:pPr>
        <w:shd w:val="clear" w:color="auto" w:fill="FFFFFF"/>
        <w:spacing w:after="100" w:afterAutospacing="1" w:line="240" w:lineRule="auto"/>
        <w:ind w:left="57" w:right="57" w:firstLine="720"/>
        <w:outlineLvl w:val="2"/>
        <w:rPr>
          <w:rFonts w:eastAsia="Times New Roman" w:cs="Times New Roman"/>
          <w:spacing w:val="-2"/>
          <w:sz w:val="22"/>
          <w:szCs w:val="22"/>
        </w:rPr>
      </w:pPr>
      <w:r w:rsidRPr="0040495B">
        <w:rPr>
          <w:rFonts w:eastAsia="Times New Roman" w:cs="Times New Roman"/>
          <w:i/>
          <w:iCs/>
          <w:spacing w:val="-2"/>
          <w:sz w:val="22"/>
          <w:szCs w:val="22"/>
        </w:rPr>
        <w:t>Pichia pastoris</w:t>
      </w:r>
      <w:r w:rsidRPr="00A766C6">
        <w:rPr>
          <w:rFonts w:eastAsia="Times New Roman" w:cs="Times New Roman"/>
          <w:spacing w:val="-2"/>
          <w:sz w:val="22"/>
          <w:szCs w:val="22"/>
        </w:rPr>
        <w:t xml:space="preserve"> and</w:t>
      </w:r>
      <w:r w:rsidR="0040495B">
        <w:rPr>
          <w:rFonts w:eastAsia="Times New Roman" w:cs="Times New Roman"/>
          <w:spacing w:val="-2"/>
          <w:sz w:val="22"/>
          <w:szCs w:val="22"/>
        </w:rPr>
        <w:t xml:space="preserve"> </w:t>
      </w:r>
      <w:r w:rsidRPr="00A766C6">
        <w:rPr>
          <w:rFonts w:eastAsia="Times New Roman" w:cs="Times New Roman"/>
          <w:spacing w:val="-2"/>
          <w:sz w:val="22"/>
          <w:szCs w:val="22"/>
        </w:rPr>
        <w:t xml:space="preserve">other; </w:t>
      </w:r>
    </w:p>
    <w:p w14:paraId="61BB5709" w14:textId="6BF36F25" w:rsidR="00A766C6" w:rsidRPr="00A766C6" w:rsidRDefault="00A766C6" w:rsidP="00F952F7">
      <w:pPr>
        <w:shd w:val="clear" w:color="auto" w:fill="FFFFFF"/>
        <w:spacing w:after="100" w:afterAutospacing="1" w:line="240" w:lineRule="auto"/>
        <w:ind w:left="57" w:right="57" w:firstLine="720"/>
        <w:outlineLvl w:val="2"/>
        <w:rPr>
          <w:rFonts w:eastAsia="Times New Roman" w:cs="Times New Roman"/>
          <w:spacing w:val="-2"/>
          <w:sz w:val="22"/>
          <w:szCs w:val="22"/>
        </w:rPr>
      </w:pPr>
      <w:r w:rsidRPr="00A766C6">
        <w:rPr>
          <w:rFonts w:eastAsia="Times New Roman" w:cs="Times New Roman"/>
          <w:spacing w:val="-2"/>
          <w:sz w:val="22"/>
          <w:szCs w:val="22"/>
        </w:rPr>
        <w:t>cell cultures of insects, mammals, baculoviruses, etc.</w:t>
      </w:r>
    </w:p>
    <w:p w14:paraId="0441B388" w14:textId="77777777" w:rsidR="0040495B" w:rsidRDefault="00A766C6" w:rsidP="00F952F7">
      <w:pPr>
        <w:shd w:val="clear" w:color="auto" w:fill="FFFFFF"/>
        <w:spacing w:after="100" w:afterAutospacing="1" w:line="240" w:lineRule="auto"/>
        <w:ind w:left="57" w:right="57"/>
        <w:outlineLvl w:val="2"/>
        <w:rPr>
          <w:rFonts w:eastAsia="Times New Roman" w:cs="Times New Roman"/>
          <w:spacing w:val="-2"/>
          <w:sz w:val="22"/>
          <w:szCs w:val="22"/>
        </w:rPr>
      </w:pPr>
      <w:r w:rsidRPr="00A766C6">
        <w:rPr>
          <w:rFonts w:eastAsia="Times New Roman" w:cs="Times New Roman"/>
          <w:spacing w:val="-2"/>
          <w:sz w:val="22"/>
          <w:szCs w:val="22"/>
        </w:rPr>
        <w:t>For subsequent identification of transgenic cells into cloning</w:t>
      </w:r>
      <w:r w:rsidR="0040495B">
        <w:rPr>
          <w:rFonts w:eastAsia="Times New Roman" w:cs="Times New Roman"/>
          <w:spacing w:val="-2"/>
          <w:sz w:val="22"/>
          <w:szCs w:val="22"/>
        </w:rPr>
        <w:t xml:space="preserve"> </w:t>
      </w:r>
      <w:r w:rsidRPr="00A766C6">
        <w:rPr>
          <w:rFonts w:eastAsia="Times New Roman" w:cs="Times New Roman"/>
          <w:spacing w:val="-2"/>
          <w:sz w:val="22"/>
          <w:szCs w:val="22"/>
        </w:rPr>
        <w:t>vectors introduce additional genetic inserts - reporter or</w:t>
      </w:r>
      <w:r w:rsidR="0040495B">
        <w:rPr>
          <w:rFonts w:eastAsia="Times New Roman" w:cs="Times New Roman"/>
          <w:spacing w:val="-2"/>
          <w:sz w:val="22"/>
          <w:szCs w:val="22"/>
        </w:rPr>
        <w:t xml:space="preserve"> </w:t>
      </w:r>
      <w:r w:rsidRPr="00A766C6">
        <w:rPr>
          <w:rFonts w:eastAsia="Times New Roman" w:cs="Times New Roman"/>
          <w:spacing w:val="-2"/>
          <w:sz w:val="22"/>
          <w:szCs w:val="22"/>
        </w:rPr>
        <w:t xml:space="preserve">marker, selective genes. </w:t>
      </w:r>
    </w:p>
    <w:p w14:paraId="2854E58A" w14:textId="77777777" w:rsidR="0040495B" w:rsidRDefault="00A766C6" w:rsidP="00F952F7">
      <w:pPr>
        <w:shd w:val="clear" w:color="auto" w:fill="FFFFFF"/>
        <w:spacing w:after="100" w:afterAutospacing="1" w:line="240" w:lineRule="auto"/>
        <w:ind w:left="57" w:right="57"/>
        <w:outlineLvl w:val="2"/>
        <w:rPr>
          <w:rFonts w:eastAsia="Times New Roman" w:cs="Times New Roman"/>
          <w:spacing w:val="-2"/>
          <w:sz w:val="22"/>
          <w:szCs w:val="22"/>
        </w:rPr>
      </w:pPr>
      <w:r w:rsidRPr="00A766C6">
        <w:rPr>
          <w:rFonts w:eastAsia="Times New Roman" w:cs="Times New Roman"/>
          <w:spacing w:val="-2"/>
          <w:sz w:val="22"/>
          <w:szCs w:val="22"/>
        </w:rPr>
        <w:t xml:space="preserve">At present, </w:t>
      </w:r>
      <w:r w:rsidRPr="0040495B">
        <w:rPr>
          <w:rFonts w:eastAsia="Times New Roman" w:cs="Times New Roman"/>
          <w:b/>
          <w:bCs/>
          <w:i/>
          <w:iCs/>
          <w:spacing w:val="-2"/>
          <w:sz w:val="22"/>
          <w:szCs w:val="22"/>
        </w:rPr>
        <w:t>selective</w:t>
      </w:r>
      <w:r w:rsidR="0040495B" w:rsidRPr="0040495B">
        <w:rPr>
          <w:rFonts w:eastAsia="Times New Roman" w:cs="Times New Roman"/>
          <w:b/>
          <w:bCs/>
          <w:i/>
          <w:iCs/>
          <w:spacing w:val="-2"/>
          <w:sz w:val="22"/>
          <w:szCs w:val="22"/>
        </w:rPr>
        <w:t xml:space="preserve"> </w:t>
      </w:r>
      <w:r w:rsidRPr="0040495B">
        <w:rPr>
          <w:rFonts w:eastAsia="Times New Roman" w:cs="Times New Roman"/>
          <w:b/>
          <w:bCs/>
          <w:i/>
          <w:iCs/>
          <w:spacing w:val="-2"/>
          <w:sz w:val="22"/>
          <w:szCs w:val="22"/>
        </w:rPr>
        <w:t>genes</w:t>
      </w:r>
      <w:r w:rsidRPr="00A766C6">
        <w:rPr>
          <w:rFonts w:eastAsia="Times New Roman" w:cs="Times New Roman"/>
          <w:spacing w:val="-2"/>
          <w:sz w:val="22"/>
          <w:szCs w:val="22"/>
        </w:rPr>
        <w:t xml:space="preserve"> of the first, second and third generations. </w:t>
      </w:r>
    </w:p>
    <w:p w14:paraId="388163B5" w14:textId="77777777" w:rsidR="0040495B" w:rsidRDefault="00A766C6" w:rsidP="00F952F7">
      <w:pPr>
        <w:shd w:val="clear" w:color="auto" w:fill="FFFFFF"/>
        <w:spacing w:after="100" w:afterAutospacing="1" w:line="240" w:lineRule="auto"/>
        <w:ind w:left="57" w:right="57"/>
        <w:outlineLvl w:val="2"/>
        <w:rPr>
          <w:rFonts w:eastAsia="Times New Roman" w:cs="Times New Roman"/>
          <w:spacing w:val="-2"/>
          <w:sz w:val="22"/>
          <w:szCs w:val="22"/>
        </w:rPr>
      </w:pPr>
      <w:r w:rsidRPr="00A766C6">
        <w:rPr>
          <w:rFonts w:eastAsia="Times New Roman" w:cs="Times New Roman"/>
          <w:spacing w:val="-2"/>
          <w:sz w:val="22"/>
          <w:szCs w:val="22"/>
        </w:rPr>
        <w:t>The student must know</w:t>
      </w:r>
      <w:r w:rsidR="0040495B">
        <w:rPr>
          <w:rFonts w:eastAsia="Times New Roman" w:cs="Times New Roman"/>
          <w:spacing w:val="-2"/>
          <w:sz w:val="22"/>
          <w:szCs w:val="22"/>
        </w:rPr>
        <w:t xml:space="preserve"> </w:t>
      </w:r>
      <w:r w:rsidRPr="00A766C6">
        <w:rPr>
          <w:rFonts w:eastAsia="Times New Roman" w:cs="Times New Roman"/>
          <w:spacing w:val="-2"/>
          <w:sz w:val="22"/>
          <w:szCs w:val="22"/>
        </w:rPr>
        <w:t xml:space="preserve">main marker genes: </w:t>
      </w:r>
    </w:p>
    <w:p w14:paraId="293E3E07" w14:textId="77777777" w:rsidR="0040495B" w:rsidRDefault="00A766C6" w:rsidP="00F952F7">
      <w:pPr>
        <w:shd w:val="clear" w:color="auto" w:fill="FFFFFF"/>
        <w:spacing w:after="100" w:afterAutospacing="1" w:line="240" w:lineRule="auto"/>
        <w:ind w:left="57" w:right="57"/>
        <w:outlineLvl w:val="2"/>
        <w:rPr>
          <w:rFonts w:eastAsia="Times New Roman" w:cs="Times New Roman"/>
          <w:spacing w:val="-2"/>
          <w:sz w:val="22"/>
          <w:szCs w:val="22"/>
        </w:rPr>
      </w:pPr>
      <w:r w:rsidRPr="0040495B">
        <w:rPr>
          <w:rFonts w:eastAsia="Times New Roman" w:cs="Times New Roman"/>
          <w:i/>
          <w:iCs/>
          <w:spacing w:val="-2"/>
          <w:sz w:val="22"/>
          <w:szCs w:val="22"/>
        </w:rPr>
        <w:t>NPT gene</w:t>
      </w:r>
      <w:r w:rsidRPr="00A766C6">
        <w:rPr>
          <w:rFonts w:eastAsia="Times New Roman" w:cs="Times New Roman"/>
          <w:spacing w:val="-2"/>
          <w:sz w:val="22"/>
          <w:szCs w:val="22"/>
        </w:rPr>
        <w:t xml:space="preserve"> (neomycin phosphotransferase), </w:t>
      </w:r>
    </w:p>
    <w:p w14:paraId="6F9A45DD" w14:textId="77777777" w:rsidR="0040495B" w:rsidRDefault="00A766C6" w:rsidP="00F952F7">
      <w:pPr>
        <w:shd w:val="clear" w:color="auto" w:fill="FFFFFF"/>
        <w:spacing w:after="100" w:afterAutospacing="1" w:line="240" w:lineRule="auto"/>
        <w:ind w:left="57" w:right="57"/>
        <w:outlineLvl w:val="2"/>
        <w:rPr>
          <w:rFonts w:eastAsia="Times New Roman" w:cs="Times New Roman"/>
          <w:spacing w:val="-2"/>
          <w:sz w:val="22"/>
          <w:szCs w:val="22"/>
        </w:rPr>
      </w:pPr>
      <w:r w:rsidRPr="0040495B">
        <w:rPr>
          <w:rFonts w:eastAsia="Times New Roman" w:cs="Times New Roman"/>
          <w:i/>
          <w:iCs/>
          <w:spacing w:val="-2"/>
          <w:sz w:val="22"/>
          <w:szCs w:val="22"/>
        </w:rPr>
        <w:lastRenderedPageBreak/>
        <w:t>GUS gene</w:t>
      </w:r>
      <w:r w:rsidR="0040495B">
        <w:rPr>
          <w:rFonts w:eastAsia="Times New Roman" w:cs="Times New Roman"/>
          <w:i/>
          <w:iCs/>
          <w:spacing w:val="-2"/>
          <w:sz w:val="22"/>
          <w:szCs w:val="22"/>
        </w:rPr>
        <w:t xml:space="preserve"> </w:t>
      </w:r>
      <w:r w:rsidRPr="00A766C6">
        <w:rPr>
          <w:rFonts w:eastAsia="Times New Roman" w:cs="Times New Roman"/>
          <w:spacing w:val="-2"/>
          <w:sz w:val="22"/>
          <w:szCs w:val="22"/>
        </w:rPr>
        <w:t>(glucuronidase),</w:t>
      </w:r>
    </w:p>
    <w:p w14:paraId="0737279C" w14:textId="0250EE75" w:rsidR="00AA6743" w:rsidRDefault="00A766C6" w:rsidP="00F952F7">
      <w:pPr>
        <w:shd w:val="clear" w:color="auto" w:fill="FFFFFF"/>
        <w:spacing w:after="100" w:afterAutospacing="1" w:line="240" w:lineRule="auto"/>
        <w:ind w:left="57" w:right="57"/>
        <w:outlineLvl w:val="2"/>
        <w:rPr>
          <w:rFonts w:eastAsia="Times New Roman" w:cs="Times New Roman"/>
          <w:spacing w:val="-2"/>
          <w:sz w:val="22"/>
          <w:szCs w:val="22"/>
        </w:rPr>
      </w:pPr>
      <w:r w:rsidRPr="00A766C6">
        <w:rPr>
          <w:rFonts w:eastAsia="Times New Roman" w:cs="Times New Roman"/>
          <w:spacing w:val="-2"/>
          <w:sz w:val="22"/>
          <w:szCs w:val="22"/>
        </w:rPr>
        <w:t xml:space="preserve"> </w:t>
      </w:r>
      <w:r w:rsidRPr="0040495B">
        <w:rPr>
          <w:rFonts w:eastAsia="Times New Roman" w:cs="Times New Roman"/>
          <w:i/>
          <w:iCs/>
          <w:spacing w:val="-2"/>
          <w:sz w:val="22"/>
          <w:szCs w:val="22"/>
        </w:rPr>
        <w:t xml:space="preserve">GFP </w:t>
      </w:r>
      <w:r w:rsidRPr="00A766C6">
        <w:rPr>
          <w:rFonts w:eastAsia="Times New Roman" w:cs="Times New Roman"/>
          <w:spacing w:val="-2"/>
          <w:sz w:val="22"/>
          <w:szCs w:val="22"/>
        </w:rPr>
        <w:t>(green fluorescent protein) gene, virtues and</w:t>
      </w:r>
      <w:r w:rsidR="0040495B">
        <w:rPr>
          <w:rFonts w:eastAsia="Times New Roman" w:cs="Times New Roman"/>
          <w:i/>
          <w:iCs/>
          <w:spacing w:val="-2"/>
          <w:sz w:val="22"/>
          <w:szCs w:val="22"/>
        </w:rPr>
        <w:t xml:space="preserve"> </w:t>
      </w:r>
      <w:r w:rsidRPr="00A766C6">
        <w:rPr>
          <w:rFonts w:eastAsia="Times New Roman" w:cs="Times New Roman"/>
          <w:spacing w:val="-2"/>
          <w:sz w:val="22"/>
          <w:szCs w:val="22"/>
        </w:rPr>
        <w:t>deficiencies of these genes as markers.</w:t>
      </w:r>
    </w:p>
    <w:p w14:paraId="4ED3DCBE" w14:textId="23754BBF" w:rsidR="0040495B" w:rsidRPr="0040495B" w:rsidRDefault="0040495B" w:rsidP="00F952F7">
      <w:pPr>
        <w:shd w:val="clear" w:color="auto" w:fill="FFFFFF"/>
        <w:spacing w:after="100" w:afterAutospacing="1" w:line="240" w:lineRule="auto"/>
        <w:ind w:left="57" w:right="57"/>
        <w:outlineLvl w:val="2"/>
        <w:rPr>
          <w:rFonts w:cs="Times New Roman"/>
          <w:b/>
          <w:sz w:val="22"/>
          <w:szCs w:val="22"/>
        </w:rPr>
      </w:pPr>
      <w:r w:rsidRPr="00AA6743">
        <w:rPr>
          <w:rFonts w:cs="Times New Roman"/>
          <w:b/>
          <w:sz w:val="22"/>
          <w:szCs w:val="22"/>
        </w:rPr>
        <w:t xml:space="preserve">Lab. work </w:t>
      </w:r>
      <w:r>
        <w:rPr>
          <w:rFonts w:cs="Times New Roman"/>
          <w:b/>
          <w:sz w:val="22"/>
          <w:szCs w:val="22"/>
        </w:rPr>
        <w:t xml:space="preserve">4. </w:t>
      </w:r>
      <w:r w:rsidRPr="0040495B">
        <w:rPr>
          <w:rFonts w:cs="Times New Roman"/>
          <w:bCs/>
          <w:i/>
          <w:iCs/>
          <w:sz w:val="22"/>
          <w:szCs w:val="22"/>
        </w:rPr>
        <w:t xml:space="preserve">Methods for introducing recombinant DNA into a cell. </w:t>
      </w:r>
    </w:p>
    <w:p w14:paraId="4ADE11AA" w14:textId="1FE8208A" w:rsidR="0040495B" w:rsidRPr="0040495B" w:rsidRDefault="0040495B" w:rsidP="00F952F7">
      <w:pPr>
        <w:shd w:val="clear" w:color="auto" w:fill="FFFFFF"/>
        <w:spacing w:after="100" w:afterAutospacing="1" w:line="240" w:lineRule="auto"/>
        <w:ind w:left="57" w:right="57"/>
        <w:outlineLvl w:val="2"/>
        <w:rPr>
          <w:rFonts w:cs="Times New Roman"/>
          <w:bCs/>
          <w:sz w:val="22"/>
          <w:szCs w:val="22"/>
        </w:rPr>
      </w:pPr>
      <w:r w:rsidRPr="0040495B">
        <w:rPr>
          <w:rFonts w:cs="Times New Roman"/>
          <w:bCs/>
          <w:sz w:val="22"/>
          <w:szCs w:val="22"/>
        </w:rPr>
        <w:t>Finished genetic constructs are transferred to target cells (organisms). For</w:t>
      </w:r>
      <w:r>
        <w:rPr>
          <w:rFonts w:cs="Times New Roman"/>
          <w:bCs/>
          <w:sz w:val="22"/>
          <w:szCs w:val="22"/>
        </w:rPr>
        <w:t xml:space="preserve"> </w:t>
      </w:r>
      <w:r w:rsidRPr="0040495B">
        <w:rPr>
          <w:rFonts w:cs="Times New Roman"/>
          <w:bCs/>
          <w:sz w:val="22"/>
          <w:szCs w:val="22"/>
        </w:rPr>
        <w:t>this is used as physical (electroporation, ballistic methods,</w:t>
      </w:r>
      <w:r>
        <w:rPr>
          <w:rFonts w:cs="Times New Roman"/>
          <w:bCs/>
          <w:sz w:val="22"/>
          <w:szCs w:val="22"/>
        </w:rPr>
        <w:t xml:space="preserve"> </w:t>
      </w:r>
      <w:r w:rsidRPr="0040495B">
        <w:rPr>
          <w:rFonts w:cs="Times New Roman"/>
          <w:bCs/>
          <w:sz w:val="22"/>
          <w:szCs w:val="22"/>
        </w:rPr>
        <w:t>vacuum infiltration, DNA microinjection), and biological</w:t>
      </w:r>
    </w:p>
    <w:p w14:paraId="52BB4B7E" w14:textId="0AD695C9" w:rsidR="0040495B" w:rsidRPr="0040495B" w:rsidRDefault="0040495B" w:rsidP="00F952F7">
      <w:pPr>
        <w:shd w:val="clear" w:color="auto" w:fill="FFFFFF"/>
        <w:spacing w:after="100" w:afterAutospacing="1" w:line="240" w:lineRule="auto"/>
        <w:ind w:left="57" w:right="57"/>
        <w:outlineLvl w:val="2"/>
        <w:rPr>
          <w:rFonts w:cs="Times New Roman"/>
          <w:bCs/>
          <w:sz w:val="22"/>
          <w:szCs w:val="22"/>
        </w:rPr>
      </w:pPr>
      <w:r w:rsidRPr="0040495B">
        <w:rPr>
          <w:rFonts w:cs="Times New Roman"/>
          <w:bCs/>
          <w:sz w:val="22"/>
          <w:szCs w:val="22"/>
        </w:rPr>
        <w:t>methods (viral transduction, bacterial transformation,</w:t>
      </w:r>
      <w:r>
        <w:rPr>
          <w:rFonts w:cs="Times New Roman"/>
          <w:bCs/>
          <w:sz w:val="22"/>
          <w:szCs w:val="22"/>
        </w:rPr>
        <w:t xml:space="preserve"> </w:t>
      </w:r>
      <w:r w:rsidRPr="0040495B">
        <w:rPr>
          <w:rFonts w:cs="Times New Roman"/>
          <w:bCs/>
          <w:sz w:val="22"/>
          <w:szCs w:val="22"/>
        </w:rPr>
        <w:t>transplastomic and mitochondrial transformations). The student must</w:t>
      </w:r>
      <w:r>
        <w:rPr>
          <w:rFonts w:cs="Times New Roman"/>
          <w:bCs/>
          <w:sz w:val="22"/>
          <w:szCs w:val="22"/>
        </w:rPr>
        <w:t xml:space="preserve"> </w:t>
      </w:r>
      <w:r w:rsidRPr="0040495B">
        <w:rPr>
          <w:rFonts w:cs="Times New Roman"/>
          <w:bCs/>
          <w:sz w:val="22"/>
          <w:szCs w:val="22"/>
        </w:rPr>
        <w:t>show how these procedures are carried out, in what cases</w:t>
      </w:r>
      <w:r>
        <w:rPr>
          <w:rFonts w:cs="Times New Roman"/>
          <w:bCs/>
          <w:sz w:val="22"/>
          <w:szCs w:val="22"/>
        </w:rPr>
        <w:t xml:space="preserve"> </w:t>
      </w:r>
      <w:r w:rsidRPr="0040495B">
        <w:rPr>
          <w:rFonts w:cs="Times New Roman"/>
          <w:bCs/>
          <w:sz w:val="22"/>
          <w:szCs w:val="22"/>
        </w:rPr>
        <w:t>use certain methods of transfer, their effectiveness.</w:t>
      </w:r>
    </w:p>
    <w:p w14:paraId="764BF7C3" w14:textId="77777777" w:rsidR="0040495B" w:rsidRPr="0040495B" w:rsidRDefault="0040495B" w:rsidP="00F952F7">
      <w:pPr>
        <w:shd w:val="clear" w:color="auto" w:fill="FFFFFF"/>
        <w:spacing w:after="100" w:afterAutospacing="1" w:line="240" w:lineRule="auto"/>
        <w:ind w:left="57" w:right="57"/>
        <w:outlineLvl w:val="2"/>
        <w:rPr>
          <w:rFonts w:cs="Times New Roman"/>
          <w:bCs/>
          <w:sz w:val="22"/>
          <w:szCs w:val="22"/>
        </w:rPr>
      </w:pPr>
      <w:r w:rsidRPr="0040495B">
        <w:rPr>
          <w:rFonts w:cs="Times New Roman"/>
          <w:bCs/>
          <w:sz w:val="22"/>
          <w:szCs w:val="22"/>
        </w:rPr>
        <w:t>In more detail, the student should know and characterize the transfer</w:t>
      </w:r>
    </w:p>
    <w:p w14:paraId="6D1FAEC6" w14:textId="77777777" w:rsidR="0040495B" w:rsidRDefault="0040495B" w:rsidP="00F952F7">
      <w:pPr>
        <w:shd w:val="clear" w:color="auto" w:fill="FFFFFF"/>
        <w:spacing w:after="100" w:afterAutospacing="1" w:line="240" w:lineRule="auto"/>
        <w:ind w:left="57" w:right="57"/>
        <w:outlineLvl w:val="2"/>
        <w:rPr>
          <w:rFonts w:cs="Times New Roman"/>
          <w:bCs/>
          <w:sz w:val="22"/>
          <w:szCs w:val="22"/>
        </w:rPr>
      </w:pPr>
      <w:r w:rsidRPr="0040495B">
        <w:rPr>
          <w:rFonts w:cs="Times New Roman"/>
          <w:bCs/>
          <w:sz w:val="22"/>
          <w:szCs w:val="22"/>
        </w:rPr>
        <w:t xml:space="preserve">transgene into plants with the participation of </w:t>
      </w:r>
      <w:r w:rsidRPr="0040495B">
        <w:rPr>
          <w:rFonts w:cs="Times New Roman"/>
          <w:bCs/>
          <w:i/>
          <w:iCs/>
          <w:sz w:val="22"/>
          <w:szCs w:val="22"/>
        </w:rPr>
        <w:t>Agrobacterium tumefaciens</w:t>
      </w:r>
      <w:r w:rsidRPr="0040495B">
        <w:rPr>
          <w:rFonts w:cs="Times New Roman"/>
          <w:bCs/>
          <w:sz w:val="22"/>
          <w:szCs w:val="22"/>
        </w:rPr>
        <w:t xml:space="preserve">. </w:t>
      </w:r>
    </w:p>
    <w:p w14:paraId="224C15BA" w14:textId="3B30CB72" w:rsidR="0040495B" w:rsidRPr="0040495B" w:rsidRDefault="0040495B" w:rsidP="00F952F7">
      <w:pPr>
        <w:shd w:val="clear" w:color="auto" w:fill="FFFFFF"/>
        <w:spacing w:after="100" w:afterAutospacing="1" w:line="240" w:lineRule="auto"/>
        <w:ind w:left="57" w:right="57"/>
        <w:outlineLvl w:val="2"/>
        <w:rPr>
          <w:rFonts w:cs="Times New Roman"/>
          <w:bCs/>
          <w:sz w:val="22"/>
          <w:szCs w:val="22"/>
        </w:rPr>
      </w:pPr>
      <w:r w:rsidRPr="0040495B">
        <w:rPr>
          <w:rFonts w:cs="Times New Roman"/>
          <w:bCs/>
          <w:sz w:val="22"/>
          <w:szCs w:val="22"/>
        </w:rPr>
        <w:t>Necessary</w:t>
      </w:r>
      <w:r>
        <w:rPr>
          <w:rFonts w:cs="Times New Roman"/>
          <w:bCs/>
          <w:sz w:val="22"/>
          <w:szCs w:val="22"/>
        </w:rPr>
        <w:t xml:space="preserve"> </w:t>
      </w:r>
      <w:r w:rsidRPr="0040495B">
        <w:rPr>
          <w:rFonts w:cs="Times New Roman"/>
          <w:bCs/>
          <w:sz w:val="22"/>
          <w:szCs w:val="22"/>
        </w:rPr>
        <w:t>understand how plant cells are infected</w:t>
      </w:r>
      <w:r>
        <w:rPr>
          <w:rFonts w:cs="Times New Roman"/>
          <w:bCs/>
          <w:sz w:val="22"/>
          <w:szCs w:val="22"/>
        </w:rPr>
        <w:t xml:space="preserve"> </w:t>
      </w:r>
      <w:r w:rsidRPr="0040495B">
        <w:rPr>
          <w:rFonts w:cs="Times New Roman"/>
          <w:bCs/>
          <w:sz w:val="22"/>
          <w:szCs w:val="22"/>
        </w:rPr>
        <w:t>agrobacteria, which is a signal for bacteria to chemotaxis in</w:t>
      </w:r>
      <w:r>
        <w:rPr>
          <w:rFonts w:cs="Times New Roman"/>
          <w:bCs/>
          <w:sz w:val="22"/>
          <w:szCs w:val="22"/>
        </w:rPr>
        <w:t xml:space="preserve"> </w:t>
      </w:r>
      <w:r w:rsidRPr="0040495B">
        <w:rPr>
          <w:rFonts w:cs="Times New Roman"/>
          <w:bCs/>
          <w:sz w:val="22"/>
          <w:szCs w:val="22"/>
        </w:rPr>
        <w:t>direction of plant cells, how embedding occurs</w:t>
      </w:r>
      <w:r>
        <w:rPr>
          <w:rFonts w:cs="Times New Roman"/>
          <w:bCs/>
          <w:sz w:val="22"/>
          <w:szCs w:val="22"/>
        </w:rPr>
        <w:t xml:space="preserve"> </w:t>
      </w:r>
      <w:r w:rsidRPr="0040495B">
        <w:rPr>
          <w:rFonts w:cs="Times New Roman"/>
          <w:bCs/>
          <w:sz w:val="22"/>
          <w:szCs w:val="22"/>
        </w:rPr>
        <w:t>agrobacterial plasmids in plant DNA.</w:t>
      </w:r>
    </w:p>
    <w:p w14:paraId="21804959" w14:textId="22C32AFB" w:rsidR="0040495B" w:rsidRPr="0040495B" w:rsidRDefault="00CB2044" w:rsidP="00F952F7">
      <w:pPr>
        <w:shd w:val="clear" w:color="auto" w:fill="FFFFFF"/>
        <w:spacing w:after="100" w:afterAutospacing="1" w:line="240" w:lineRule="auto"/>
        <w:ind w:left="57" w:right="57"/>
        <w:outlineLvl w:val="2"/>
        <w:rPr>
          <w:rFonts w:cs="Times New Roman"/>
          <w:b/>
          <w:sz w:val="22"/>
          <w:szCs w:val="22"/>
        </w:rPr>
      </w:pPr>
      <w:r>
        <w:rPr>
          <w:b/>
          <w:bCs/>
          <w:sz w:val="22"/>
          <w:szCs w:val="22"/>
        </w:rPr>
        <w:t>Lab 5.</w:t>
      </w:r>
      <w:r>
        <w:rPr>
          <w:bCs/>
          <w:sz w:val="22"/>
          <w:szCs w:val="22"/>
        </w:rPr>
        <w:t xml:space="preserve"> Theme methods of analyses of nucleic acids</w:t>
      </w:r>
    </w:p>
    <w:p w14:paraId="6F66311F" w14:textId="7FB13127" w:rsidR="0040495B" w:rsidRDefault="006E210A" w:rsidP="00F952F7">
      <w:pPr>
        <w:shd w:val="clear" w:color="auto" w:fill="FFFFFF"/>
        <w:spacing w:after="100" w:afterAutospacing="1" w:line="240" w:lineRule="auto"/>
        <w:ind w:left="57" w:right="57"/>
        <w:outlineLvl w:val="2"/>
        <w:rPr>
          <w:color w:val="111111"/>
          <w:sz w:val="22"/>
          <w:szCs w:val="22"/>
        </w:rPr>
      </w:pPr>
      <w:r w:rsidRPr="00AA6743">
        <w:rPr>
          <w:rFonts w:cs="Times New Roman"/>
          <w:b/>
          <w:sz w:val="22"/>
          <w:szCs w:val="22"/>
        </w:rPr>
        <w:t xml:space="preserve">Lab. work </w:t>
      </w:r>
      <w:r w:rsidR="00CB2044">
        <w:rPr>
          <w:rFonts w:cs="Times New Roman"/>
          <w:b/>
          <w:sz w:val="22"/>
          <w:szCs w:val="22"/>
        </w:rPr>
        <w:t>6</w:t>
      </w:r>
      <w:r>
        <w:rPr>
          <w:rFonts w:cs="Times New Roman"/>
          <w:b/>
          <w:sz w:val="22"/>
          <w:szCs w:val="22"/>
        </w:rPr>
        <w:t xml:space="preserve">. </w:t>
      </w:r>
      <w:r w:rsidRPr="007E76AD">
        <w:rPr>
          <w:bCs/>
          <w:i/>
          <w:iCs/>
          <w:sz w:val="22"/>
          <w:szCs w:val="22"/>
        </w:rPr>
        <w:t xml:space="preserve">Methods of  determination of </w:t>
      </w:r>
      <w:r w:rsidRPr="007E76AD">
        <w:rPr>
          <w:i/>
          <w:iCs/>
          <w:color w:val="111111"/>
          <w:sz w:val="22"/>
          <w:szCs w:val="22"/>
        </w:rPr>
        <w:t>vitamins A, C, E, plant pigments, indispensable unsaturated fatty acids (IUFA), alimentary cellulose, and pre- and probiotics</w:t>
      </w:r>
    </w:p>
    <w:p w14:paraId="6A6B8B25" w14:textId="2A976460" w:rsidR="006E210A" w:rsidRDefault="006E210A" w:rsidP="00F952F7">
      <w:pPr>
        <w:shd w:val="clear" w:color="auto" w:fill="FFFFFF"/>
        <w:spacing w:after="100" w:afterAutospacing="1" w:line="240" w:lineRule="auto"/>
        <w:ind w:left="57" w:right="57"/>
        <w:outlineLvl w:val="2"/>
        <w:rPr>
          <w:bCs/>
          <w:sz w:val="22"/>
          <w:szCs w:val="22"/>
        </w:rPr>
      </w:pPr>
      <w:r>
        <w:rPr>
          <w:b/>
          <w:bCs/>
          <w:sz w:val="22"/>
          <w:szCs w:val="22"/>
        </w:rPr>
        <w:t xml:space="preserve">Lab </w:t>
      </w:r>
      <w:r w:rsidR="00CB2044">
        <w:rPr>
          <w:b/>
          <w:bCs/>
          <w:sz w:val="22"/>
          <w:szCs w:val="22"/>
        </w:rPr>
        <w:t>6</w:t>
      </w:r>
      <w:r>
        <w:rPr>
          <w:b/>
          <w:bCs/>
          <w:sz w:val="22"/>
          <w:szCs w:val="22"/>
        </w:rPr>
        <w:t>.</w:t>
      </w:r>
      <w:r>
        <w:rPr>
          <w:bCs/>
          <w:sz w:val="22"/>
          <w:szCs w:val="22"/>
        </w:rPr>
        <w:t xml:space="preserve">  </w:t>
      </w:r>
      <w:r w:rsidRPr="00835CAD">
        <w:rPr>
          <w:bCs/>
          <w:i/>
          <w:iCs/>
          <w:sz w:val="22"/>
          <w:szCs w:val="22"/>
        </w:rPr>
        <w:t>Pre and pos-marketing issues to be solve before GM crops commercialisation</w:t>
      </w:r>
    </w:p>
    <w:p w14:paraId="58BD8980" w14:textId="2E4237E1" w:rsidR="00515038" w:rsidRDefault="00CB2044" w:rsidP="00F952F7">
      <w:pPr>
        <w:shd w:val="clear" w:color="auto" w:fill="FFFFFF"/>
        <w:spacing w:after="100" w:afterAutospacing="1" w:line="240" w:lineRule="auto"/>
        <w:ind w:left="57" w:right="57"/>
        <w:outlineLvl w:val="2"/>
        <w:rPr>
          <w:bCs/>
          <w:sz w:val="22"/>
          <w:szCs w:val="22"/>
        </w:rPr>
      </w:pPr>
      <w:r>
        <w:rPr>
          <w:b/>
          <w:bCs/>
          <w:sz w:val="22"/>
          <w:szCs w:val="22"/>
        </w:rPr>
        <w:t>Lab 7.</w:t>
      </w:r>
      <w:r>
        <w:rPr>
          <w:bCs/>
          <w:sz w:val="22"/>
          <w:szCs w:val="22"/>
        </w:rPr>
        <w:t xml:space="preserve">  Theme</w:t>
      </w:r>
      <w:r>
        <w:rPr>
          <w:spacing w:val="-2"/>
          <w:sz w:val="22"/>
          <w:szCs w:val="22"/>
        </w:rPr>
        <w:t xml:space="preserve"> Molecular Characterization of GMOs. </w:t>
      </w:r>
      <w:r>
        <w:rPr>
          <w:sz w:val="22"/>
          <w:szCs w:val="22"/>
        </w:rPr>
        <w:t>Southern blot analysis and polymerase chain reaction (PCR)</w:t>
      </w:r>
      <w:r w:rsidRPr="00515038">
        <w:rPr>
          <w:bCs/>
          <w:sz w:val="22"/>
          <w:szCs w:val="22"/>
        </w:rPr>
        <w:t xml:space="preserve"> </w:t>
      </w:r>
      <w:r w:rsidR="00515038" w:rsidRPr="00515038">
        <w:rPr>
          <w:bCs/>
          <w:sz w:val="22"/>
          <w:szCs w:val="22"/>
        </w:rPr>
        <w:t>Cell cultures or transgenic organisms are</w:t>
      </w:r>
      <w:r w:rsidR="00515038">
        <w:rPr>
          <w:bCs/>
          <w:sz w:val="22"/>
          <w:szCs w:val="22"/>
        </w:rPr>
        <w:t xml:space="preserve"> </w:t>
      </w:r>
      <w:r w:rsidR="00515038" w:rsidRPr="00515038">
        <w:rPr>
          <w:bCs/>
          <w:sz w:val="22"/>
          <w:szCs w:val="22"/>
        </w:rPr>
        <w:t>mosaic in terms of the genome. Only a part of the cells contains a built-in</w:t>
      </w:r>
      <w:r w:rsidR="00515038">
        <w:rPr>
          <w:bCs/>
          <w:sz w:val="22"/>
          <w:szCs w:val="22"/>
        </w:rPr>
        <w:t xml:space="preserve"> </w:t>
      </w:r>
      <w:r w:rsidR="00515038" w:rsidRPr="00515038">
        <w:rPr>
          <w:bCs/>
          <w:sz w:val="22"/>
          <w:szCs w:val="22"/>
        </w:rPr>
        <w:t>transgene, but it is these cells that are of interest for gene</w:t>
      </w:r>
      <w:r w:rsidR="00515038">
        <w:rPr>
          <w:bCs/>
          <w:sz w:val="22"/>
          <w:szCs w:val="22"/>
        </w:rPr>
        <w:t xml:space="preserve"> </w:t>
      </w:r>
      <w:r w:rsidR="00515038" w:rsidRPr="00515038">
        <w:rPr>
          <w:bCs/>
          <w:sz w:val="22"/>
          <w:szCs w:val="22"/>
        </w:rPr>
        <w:t xml:space="preserve">engineers. They need to be selected for further cloning. </w:t>
      </w:r>
    </w:p>
    <w:p w14:paraId="45F1AA2E" w14:textId="0EFB678C" w:rsidR="00515038" w:rsidRPr="00515038" w:rsidRDefault="00515038" w:rsidP="00F952F7">
      <w:pPr>
        <w:shd w:val="clear" w:color="auto" w:fill="FFFFFF"/>
        <w:spacing w:after="100" w:afterAutospacing="1" w:line="240" w:lineRule="auto"/>
        <w:ind w:left="57" w:right="57"/>
        <w:outlineLvl w:val="2"/>
        <w:rPr>
          <w:bCs/>
          <w:sz w:val="22"/>
          <w:szCs w:val="22"/>
        </w:rPr>
      </w:pPr>
      <w:r w:rsidRPr="00515038">
        <w:rPr>
          <w:bCs/>
          <w:sz w:val="22"/>
          <w:szCs w:val="22"/>
        </w:rPr>
        <w:t>For this</w:t>
      </w:r>
      <w:r>
        <w:rPr>
          <w:bCs/>
          <w:sz w:val="22"/>
          <w:szCs w:val="22"/>
        </w:rPr>
        <w:t xml:space="preserve"> </w:t>
      </w:r>
      <w:r w:rsidRPr="00515038">
        <w:rPr>
          <w:bCs/>
          <w:sz w:val="22"/>
          <w:szCs w:val="22"/>
        </w:rPr>
        <w:t>use different approaches, for example, cell selection on media with</w:t>
      </w:r>
      <w:r>
        <w:rPr>
          <w:bCs/>
          <w:sz w:val="22"/>
          <w:szCs w:val="22"/>
        </w:rPr>
        <w:t xml:space="preserve"> </w:t>
      </w:r>
      <w:r w:rsidRPr="00515038">
        <w:rPr>
          <w:bCs/>
          <w:sz w:val="22"/>
          <w:szCs w:val="22"/>
        </w:rPr>
        <w:t>antibiotics, detection of reporter gene expression products</w:t>
      </w:r>
      <w:r>
        <w:rPr>
          <w:bCs/>
          <w:sz w:val="22"/>
          <w:szCs w:val="22"/>
        </w:rPr>
        <w:t xml:space="preserve"> </w:t>
      </w:r>
      <w:r w:rsidRPr="00515038">
        <w:rPr>
          <w:bCs/>
          <w:sz w:val="22"/>
          <w:szCs w:val="22"/>
        </w:rPr>
        <w:t>and/or their activities, sexing techniques for selection of transgenic insects and</w:t>
      </w:r>
    </w:p>
    <w:p w14:paraId="2D8D4A6F" w14:textId="77777777" w:rsidR="00515038" w:rsidRDefault="00515038" w:rsidP="00F952F7">
      <w:pPr>
        <w:shd w:val="clear" w:color="auto" w:fill="FFFFFF"/>
        <w:spacing w:after="100" w:afterAutospacing="1" w:line="240" w:lineRule="auto"/>
        <w:ind w:left="57" w:right="57"/>
        <w:outlineLvl w:val="2"/>
        <w:rPr>
          <w:bCs/>
          <w:sz w:val="22"/>
          <w:szCs w:val="22"/>
        </w:rPr>
      </w:pPr>
      <w:r w:rsidRPr="00515038">
        <w:rPr>
          <w:bCs/>
          <w:sz w:val="22"/>
          <w:szCs w:val="22"/>
        </w:rPr>
        <w:t xml:space="preserve">etc. </w:t>
      </w:r>
    </w:p>
    <w:p w14:paraId="174517C5" w14:textId="77777777" w:rsidR="00515038" w:rsidRDefault="00515038" w:rsidP="00F952F7">
      <w:pPr>
        <w:shd w:val="clear" w:color="auto" w:fill="FFFFFF"/>
        <w:spacing w:after="100" w:afterAutospacing="1" w:line="240" w:lineRule="auto"/>
        <w:ind w:left="57" w:right="57"/>
        <w:outlineLvl w:val="2"/>
        <w:rPr>
          <w:bCs/>
          <w:sz w:val="22"/>
          <w:szCs w:val="22"/>
        </w:rPr>
      </w:pPr>
      <w:r w:rsidRPr="00515038">
        <w:rPr>
          <w:bCs/>
          <w:sz w:val="22"/>
          <w:szCs w:val="22"/>
        </w:rPr>
        <w:t>Direct evidence of the integration and operation of the transgene is its</w:t>
      </w:r>
      <w:r>
        <w:rPr>
          <w:bCs/>
          <w:sz w:val="22"/>
          <w:szCs w:val="22"/>
        </w:rPr>
        <w:t xml:space="preserve"> </w:t>
      </w:r>
      <w:r w:rsidRPr="00515038">
        <w:rPr>
          <w:bCs/>
          <w:sz w:val="22"/>
          <w:szCs w:val="22"/>
        </w:rPr>
        <w:t>expression and synthesis of the target protein or other product. Selected</w:t>
      </w:r>
      <w:r>
        <w:rPr>
          <w:bCs/>
          <w:sz w:val="22"/>
          <w:szCs w:val="22"/>
        </w:rPr>
        <w:t xml:space="preserve"> </w:t>
      </w:r>
      <w:r w:rsidRPr="00515038">
        <w:rPr>
          <w:bCs/>
          <w:sz w:val="22"/>
          <w:szCs w:val="22"/>
        </w:rPr>
        <w:t>transgenic cells or individuals must be propagated.</w:t>
      </w:r>
    </w:p>
    <w:p w14:paraId="5F01D479" w14:textId="31B891C4" w:rsidR="00515038" w:rsidRPr="00515038" w:rsidRDefault="00515038" w:rsidP="00F952F7">
      <w:pPr>
        <w:shd w:val="clear" w:color="auto" w:fill="FFFFFF"/>
        <w:spacing w:after="100" w:afterAutospacing="1" w:line="240" w:lineRule="auto"/>
        <w:ind w:left="57" w:right="57"/>
        <w:outlineLvl w:val="2"/>
        <w:rPr>
          <w:bCs/>
          <w:sz w:val="22"/>
          <w:szCs w:val="22"/>
        </w:rPr>
      </w:pPr>
      <w:r w:rsidRPr="00515038">
        <w:rPr>
          <w:bCs/>
          <w:sz w:val="22"/>
          <w:szCs w:val="22"/>
        </w:rPr>
        <w:t xml:space="preserve"> Building on earlier</w:t>
      </w:r>
      <w:r>
        <w:rPr>
          <w:bCs/>
          <w:sz w:val="22"/>
          <w:szCs w:val="22"/>
        </w:rPr>
        <w:t xml:space="preserve"> </w:t>
      </w:r>
      <w:r w:rsidRPr="00515038">
        <w:rPr>
          <w:bCs/>
          <w:sz w:val="22"/>
          <w:szCs w:val="22"/>
        </w:rPr>
        <w:t>acquired knowledge of the courses "Plant Physiology" and "Biotechnology"</w:t>
      </w:r>
    </w:p>
    <w:p w14:paraId="13B568F9" w14:textId="12ACC4E1" w:rsidR="00515038" w:rsidRDefault="00515038" w:rsidP="00F952F7">
      <w:pPr>
        <w:shd w:val="clear" w:color="auto" w:fill="FFFFFF"/>
        <w:spacing w:after="100" w:afterAutospacing="1" w:line="240" w:lineRule="auto"/>
        <w:ind w:left="57" w:right="57"/>
        <w:outlineLvl w:val="2"/>
        <w:rPr>
          <w:bCs/>
          <w:sz w:val="22"/>
          <w:szCs w:val="22"/>
        </w:rPr>
      </w:pPr>
      <w:r w:rsidRPr="00515038">
        <w:rPr>
          <w:bCs/>
          <w:sz w:val="22"/>
          <w:szCs w:val="22"/>
        </w:rPr>
        <w:t>students independently master issues such as cloning</w:t>
      </w:r>
      <w:r>
        <w:rPr>
          <w:bCs/>
          <w:sz w:val="22"/>
          <w:szCs w:val="22"/>
        </w:rPr>
        <w:t xml:space="preserve"> </w:t>
      </w:r>
      <w:r w:rsidRPr="00515038">
        <w:rPr>
          <w:bCs/>
          <w:sz w:val="22"/>
          <w:szCs w:val="22"/>
        </w:rPr>
        <w:t>genetically modified organism, gemma- and embryoidogenesis in</w:t>
      </w:r>
      <w:r>
        <w:rPr>
          <w:bCs/>
          <w:sz w:val="22"/>
          <w:szCs w:val="22"/>
        </w:rPr>
        <w:t xml:space="preserve"> </w:t>
      </w:r>
      <w:r w:rsidRPr="00515038">
        <w:rPr>
          <w:bCs/>
          <w:sz w:val="22"/>
          <w:szCs w:val="22"/>
        </w:rPr>
        <w:t>tissue culture, micrografting of regenerants, etc.</w:t>
      </w:r>
    </w:p>
    <w:p w14:paraId="4DA737D4" w14:textId="77777777" w:rsidR="00CB2044" w:rsidRDefault="00CB2044" w:rsidP="00F952F7">
      <w:pPr>
        <w:shd w:val="clear" w:color="auto" w:fill="FFFFFF"/>
        <w:spacing w:after="100" w:afterAutospacing="1" w:line="240" w:lineRule="auto"/>
        <w:ind w:left="57" w:right="57" w:firstLine="720"/>
        <w:rPr>
          <w:rFonts w:eastAsia="Times New Roman" w:cs="Times New Roman"/>
          <w:sz w:val="22"/>
          <w:szCs w:val="22"/>
        </w:rPr>
      </w:pPr>
      <w:r>
        <w:rPr>
          <w:b/>
          <w:bCs/>
          <w:sz w:val="22"/>
          <w:szCs w:val="22"/>
        </w:rPr>
        <w:t>Lab 8.</w:t>
      </w:r>
      <w:r>
        <w:rPr>
          <w:bCs/>
          <w:sz w:val="22"/>
          <w:szCs w:val="22"/>
        </w:rPr>
        <w:t xml:space="preserve">  Theme </w:t>
      </w:r>
      <w:r>
        <w:rPr>
          <w:spacing w:val="-2"/>
          <w:sz w:val="22"/>
          <w:szCs w:val="22"/>
        </w:rPr>
        <w:t xml:space="preserve">Molecular Characterization of GMOs. </w:t>
      </w:r>
      <w:r>
        <w:rPr>
          <w:sz w:val="22"/>
          <w:szCs w:val="22"/>
        </w:rPr>
        <w:t>Polymerase chain reaction (PCR) in its various formats such as real-time PCR (qPCR).</w:t>
      </w:r>
      <w:r w:rsidRPr="00AA6743">
        <w:rPr>
          <w:rFonts w:eastAsia="Times New Roman" w:cs="Times New Roman"/>
          <w:sz w:val="22"/>
          <w:szCs w:val="22"/>
        </w:rPr>
        <w:t xml:space="preserve"> </w:t>
      </w:r>
    </w:p>
    <w:p w14:paraId="36A1A734" w14:textId="6F2A87C3" w:rsidR="00835CAD" w:rsidRDefault="00DB0CAB" w:rsidP="00F952F7">
      <w:pPr>
        <w:shd w:val="clear" w:color="auto" w:fill="FFFFFF"/>
        <w:spacing w:after="100" w:afterAutospacing="1" w:line="240" w:lineRule="auto"/>
        <w:ind w:left="57" w:right="57" w:firstLine="720"/>
        <w:rPr>
          <w:rFonts w:eastAsia="Times New Roman" w:cs="Times New Roman"/>
          <w:sz w:val="22"/>
          <w:szCs w:val="22"/>
        </w:rPr>
      </w:pPr>
      <w:r w:rsidRPr="00AA6743">
        <w:rPr>
          <w:rFonts w:eastAsia="Times New Roman" w:cs="Times New Roman"/>
          <w:sz w:val="22"/>
          <w:szCs w:val="22"/>
        </w:rPr>
        <w:t>Molecular characterization of GM crops is a full description of the structural information of the transgene and stability of the trait</w:t>
      </w:r>
      <w:r w:rsidR="00835CAD">
        <w:rPr>
          <w:rFonts w:eastAsia="Times New Roman" w:cs="Times New Roman"/>
          <w:sz w:val="22"/>
          <w:szCs w:val="22"/>
        </w:rPr>
        <w:t xml:space="preserve">.  </w:t>
      </w:r>
      <w:r w:rsidRPr="00AA6743">
        <w:rPr>
          <w:rFonts w:eastAsia="Times New Roman" w:cs="Times New Roman"/>
          <w:sz w:val="22"/>
          <w:szCs w:val="22"/>
        </w:rPr>
        <w:t xml:space="preserve">It is the foundation of all GM product safety assessments before </w:t>
      </w:r>
      <w:r w:rsidRPr="00AA6743">
        <w:rPr>
          <w:rFonts w:eastAsia="Times New Roman" w:cs="Times New Roman"/>
          <w:sz w:val="22"/>
          <w:szCs w:val="22"/>
        </w:rPr>
        <w:lastRenderedPageBreak/>
        <w:t>commercialization and also serves as a baseline for the development of detection and identification tools to satisfy traceability and labeling requirements (</w:t>
      </w:r>
      <w:hyperlink r:id="rId11" w:anchor="B55" w:history="1">
        <w:r w:rsidRPr="00AA6743">
          <w:rPr>
            <w:rStyle w:val="a3"/>
            <w:rFonts w:eastAsia="Times New Roman" w:cs="Times New Roman"/>
            <w:color w:val="auto"/>
            <w:sz w:val="22"/>
            <w:szCs w:val="22"/>
          </w:rPr>
          <w:t>European Parliament, 2003</w:t>
        </w:r>
      </w:hyperlink>
      <w:r w:rsidRPr="00AA6743">
        <w:rPr>
          <w:rFonts w:eastAsia="Times New Roman" w:cs="Times New Roman"/>
          <w:sz w:val="22"/>
          <w:szCs w:val="22"/>
        </w:rPr>
        <w:t>).</w:t>
      </w:r>
    </w:p>
    <w:p w14:paraId="24E65CF9" w14:textId="2710F48F" w:rsidR="00DB0CAB" w:rsidRDefault="00DB0CAB" w:rsidP="00F952F7">
      <w:pPr>
        <w:shd w:val="clear" w:color="auto" w:fill="FFFFFF"/>
        <w:spacing w:after="100" w:afterAutospacing="1" w:line="240" w:lineRule="auto"/>
        <w:ind w:left="57" w:right="57" w:firstLine="720"/>
        <w:rPr>
          <w:rFonts w:eastAsia="Times New Roman" w:cs="Times New Roman"/>
          <w:sz w:val="22"/>
          <w:szCs w:val="22"/>
        </w:rPr>
      </w:pPr>
      <w:r w:rsidRPr="00AA6743">
        <w:rPr>
          <w:rFonts w:eastAsia="Times New Roman" w:cs="Times New Roman"/>
          <w:sz w:val="22"/>
          <w:szCs w:val="22"/>
        </w:rPr>
        <w:t xml:space="preserve"> Stakeholders of both GM food and feed, must provide information on the genomic locus/loci modified, copy number of the inserted transgene, insertion site, and flanking regions.</w:t>
      </w:r>
    </w:p>
    <w:p w14:paraId="38ACAC31" w14:textId="77777777" w:rsidR="0005249B" w:rsidRDefault="00DB0CAB" w:rsidP="00F952F7">
      <w:pPr>
        <w:shd w:val="clear" w:color="auto" w:fill="FFFFFF"/>
        <w:spacing w:line="240" w:lineRule="auto"/>
        <w:ind w:left="57" w:right="57" w:firstLine="720"/>
        <w:rPr>
          <w:rFonts w:eastAsia="Times New Roman" w:cs="Times New Roman"/>
          <w:sz w:val="22"/>
          <w:szCs w:val="22"/>
        </w:rPr>
      </w:pPr>
      <w:r w:rsidRPr="00AA6743">
        <w:rPr>
          <w:rFonts w:eastAsia="Times New Roman" w:cs="Times New Roman"/>
          <w:sz w:val="22"/>
          <w:szCs w:val="22"/>
        </w:rPr>
        <w:t xml:space="preserve">Selection of low insertion copy number DNA transformants is preferred for the subsequent safety assessment process as it facilitates risk and hazard characterization. </w:t>
      </w:r>
    </w:p>
    <w:p w14:paraId="34897B19" w14:textId="19A3E339" w:rsidR="00DB0CAB" w:rsidRPr="00AA6743" w:rsidRDefault="00DB0CAB" w:rsidP="00F952F7">
      <w:pPr>
        <w:shd w:val="clear" w:color="auto" w:fill="FFFFFF"/>
        <w:spacing w:line="240" w:lineRule="auto"/>
        <w:ind w:left="57" w:right="57" w:firstLine="720"/>
        <w:rPr>
          <w:rFonts w:eastAsia="Times New Roman" w:cs="Times New Roman"/>
          <w:sz w:val="22"/>
          <w:szCs w:val="22"/>
        </w:rPr>
      </w:pPr>
      <w:r w:rsidRPr="00AA6743">
        <w:rPr>
          <w:rFonts w:eastAsia="Times New Roman" w:cs="Times New Roman"/>
          <w:sz w:val="22"/>
          <w:szCs w:val="22"/>
        </w:rPr>
        <w:t>The methods most commonly used to determinate the number of transgenes integrated have been Southern blot analysis and polymerase chain reaction (PCR), in its various formats such as real-time PCR (qPCR).</w:t>
      </w:r>
    </w:p>
    <w:p w14:paraId="3E3724C1" w14:textId="77777777" w:rsidR="0005249B" w:rsidRDefault="0005249B" w:rsidP="00F952F7">
      <w:pPr>
        <w:shd w:val="clear" w:color="auto" w:fill="FFFFFF"/>
        <w:spacing w:line="240" w:lineRule="auto"/>
        <w:ind w:left="57" w:right="57" w:firstLine="720"/>
        <w:rPr>
          <w:rFonts w:eastAsia="Times New Roman" w:cs="Times New Roman"/>
          <w:sz w:val="22"/>
          <w:szCs w:val="22"/>
        </w:rPr>
      </w:pPr>
      <w:r>
        <w:rPr>
          <w:rFonts w:eastAsia="Times New Roman" w:cs="Times New Roman"/>
          <w:sz w:val="22"/>
          <w:szCs w:val="22"/>
        </w:rPr>
        <w:t xml:space="preserve"> </w:t>
      </w:r>
      <w:r w:rsidR="00DB0CAB" w:rsidRPr="00AA6743">
        <w:rPr>
          <w:rFonts w:eastAsia="Times New Roman" w:cs="Times New Roman"/>
          <w:sz w:val="22"/>
          <w:szCs w:val="22"/>
        </w:rPr>
        <w:t>The Southern blot analysis involves a careful selection and broad screening of restriction enzymes and designing of probes, which in some cases dependent on prior sequence information of the transgene insertion</w:t>
      </w:r>
      <w:r>
        <w:rPr>
          <w:rFonts w:eastAsia="Times New Roman" w:cs="Times New Roman"/>
          <w:sz w:val="22"/>
          <w:szCs w:val="22"/>
        </w:rPr>
        <w:t>.</w:t>
      </w:r>
    </w:p>
    <w:p w14:paraId="1944423B" w14:textId="6D6328C5" w:rsidR="00DB0CAB" w:rsidRPr="00AA6743" w:rsidRDefault="00DB0CAB" w:rsidP="00F952F7">
      <w:pPr>
        <w:shd w:val="clear" w:color="auto" w:fill="FFFFFF"/>
        <w:spacing w:line="240" w:lineRule="auto"/>
        <w:ind w:left="57" w:right="57" w:firstLine="720"/>
        <w:rPr>
          <w:rFonts w:eastAsia="Times New Roman" w:cs="Times New Roman"/>
          <w:sz w:val="22"/>
          <w:szCs w:val="22"/>
        </w:rPr>
      </w:pPr>
      <w:r w:rsidRPr="00AA6743">
        <w:rPr>
          <w:rFonts w:eastAsia="Times New Roman" w:cs="Times New Roman"/>
          <w:sz w:val="22"/>
          <w:szCs w:val="22"/>
        </w:rPr>
        <w:t>However, the approach is relatively time-consuming and laborious, and also includes a manual interpretation process. In addition, the result may not accurately reflect the copy number of a transgene, if sequence rearrangements have occurred, which have affected the position(s) of the restriction enzyme recognition site(s) in the inserted transgene(s)).</w:t>
      </w:r>
    </w:p>
    <w:p w14:paraId="175FB1AA" w14:textId="77777777" w:rsidR="00CB2044" w:rsidRDefault="00CB2044" w:rsidP="00F952F7">
      <w:pPr>
        <w:shd w:val="clear" w:color="auto" w:fill="FFFFFF"/>
        <w:spacing w:after="100" w:afterAutospacing="1" w:line="240" w:lineRule="auto"/>
        <w:ind w:left="57" w:right="57"/>
        <w:outlineLvl w:val="2"/>
        <w:rPr>
          <w:b/>
          <w:bCs/>
          <w:sz w:val="22"/>
          <w:szCs w:val="22"/>
        </w:rPr>
      </w:pPr>
    </w:p>
    <w:p w14:paraId="58B79C92" w14:textId="3980A5A6" w:rsidR="0005249B" w:rsidRPr="0005249B" w:rsidRDefault="0005249B" w:rsidP="00F952F7">
      <w:pPr>
        <w:shd w:val="clear" w:color="auto" w:fill="FFFFFF"/>
        <w:spacing w:after="100" w:afterAutospacing="1" w:line="240" w:lineRule="auto"/>
        <w:ind w:left="57" w:right="57"/>
        <w:outlineLvl w:val="2"/>
        <w:rPr>
          <w:rFonts w:eastAsia="Times New Roman" w:cs="Times New Roman"/>
          <w:i/>
          <w:iCs/>
          <w:spacing w:val="-2"/>
          <w:sz w:val="22"/>
          <w:szCs w:val="22"/>
        </w:rPr>
      </w:pPr>
      <w:r>
        <w:rPr>
          <w:b/>
          <w:bCs/>
          <w:sz w:val="22"/>
          <w:szCs w:val="22"/>
        </w:rPr>
        <w:t xml:space="preserve">Lab </w:t>
      </w:r>
      <w:r w:rsidR="00303FE7">
        <w:rPr>
          <w:b/>
          <w:bCs/>
          <w:sz w:val="22"/>
          <w:szCs w:val="22"/>
        </w:rPr>
        <w:t>9</w:t>
      </w:r>
      <w:r>
        <w:rPr>
          <w:b/>
          <w:bCs/>
          <w:sz w:val="22"/>
          <w:szCs w:val="22"/>
        </w:rPr>
        <w:t>.</w:t>
      </w:r>
      <w:r>
        <w:rPr>
          <w:bCs/>
          <w:sz w:val="22"/>
          <w:szCs w:val="22"/>
        </w:rPr>
        <w:t xml:space="preserve">   </w:t>
      </w:r>
      <w:r w:rsidRPr="00835CAD">
        <w:rPr>
          <w:rFonts w:eastAsia="Times New Roman" w:cs="Times New Roman"/>
          <w:i/>
          <w:iCs/>
          <w:spacing w:val="-2"/>
          <w:sz w:val="22"/>
          <w:szCs w:val="22"/>
        </w:rPr>
        <w:t>Molecular Characterization of GMOs</w:t>
      </w:r>
      <w:r>
        <w:rPr>
          <w:rFonts w:eastAsia="Times New Roman" w:cs="Times New Roman"/>
          <w:i/>
          <w:iCs/>
          <w:spacing w:val="-2"/>
          <w:sz w:val="22"/>
          <w:szCs w:val="22"/>
        </w:rPr>
        <w:t>.</w:t>
      </w:r>
      <w:r w:rsidRPr="0005249B">
        <w:rPr>
          <w:rFonts w:eastAsia="Times New Roman" w:cs="Times New Roman"/>
          <w:sz w:val="22"/>
          <w:szCs w:val="22"/>
        </w:rPr>
        <w:t xml:space="preserve"> </w:t>
      </w:r>
      <w:r w:rsidR="00303FE7" w:rsidRPr="00303FE7">
        <w:rPr>
          <w:rFonts w:eastAsia="Times New Roman" w:cs="Times New Roman"/>
          <w:i/>
          <w:iCs/>
          <w:sz w:val="22"/>
          <w:szCs w:val="22"/>
        </w:rPr>
        <w:t>A qPCR-based assay</w:t>
      </w:r>
    </w:p>
    <w:p w14:paraId="6AAD843C" w14:textId="6524162C" w:rsidR="00DB0CAB" w:rsidRPr="00AA6743" w:rsidRDefault="00DB0CAB" w:rsidP="00F952F7">
      <w:pPr>
        <w:shd w:val="clear" w:color="auto" w:fill="FFFFFF"/>
        <w:spacing w:after="100" w:afterAutospacing="1" w:line="240" w:lineRule="auto"/>
        <w:ind w:left="57" w:right="57"/>
        <w:rPr>
          <w:rFonts w:eastAsia="Times New Roman" w:cs="Times New Roman"/>
          <w:sz w:val="22"/>
          <w:szCs w:val="22"/>
        </w:rPr>
      </w:pPr>
      <w:r w:rsidRPr="00AA6743">
        <w:rPr>
          <w:rFonts w:eastAsia="Times New Roman" w:cs="Times New Roman"/>
          <w:sz w:val="22"/>
          <w:szCs w:val="22"/>
        </w:rPr>
        <w:t>A qPCR-based assay can more accurately quantify the copy number of transgenes by comparing to an endogenous reference sequence (endogene), which has provided a simplified alternative to Southern blot analysis (</w:t>
      </w:r>
      <w:hyperlink r:id="rId12" w:anchor="B117" w:history="1">
        <w:r w:rsidRPr="00AA6743">
          <w:rPr>
            <w:rStyle w:val="a3"/>
            <w:rFonts w:eastAsia="Times New Roman" w:cs="Times New Roman"/>
            <w:color w:val="auto"/>
            <w:sz w:val="22"/>
            <w:szCs w:val="22"/>
          </w:rPr>
          <w:t>Li et al., 2017</w:t>
        </w:r>
      </w:hyperlink>
      <w:r w:rsidRPr="00AA6743">
        <w:rPr>
          <w:rFonts w:eastAsia="Times New Roman" w:cs="Times New Roman"/>
          <w:sz w:val="22"/>
          <w:szCs w:val="22"/>
        </w:rPr>
        <w:t>). However, identification of a single copy reference gene is occasionally difficult in crop species, due to ancestral whole genome duplications or due to polyploidy, causing complex structures and genetic redundancy (</w:t>
      </w:r>
      <w:hyperlink r:id="rId13" w:anchor="B154" w:history="1">
        <w:r w:rsidRPr="00AA6743">
          <w:rPr>
            <w:rStyle w:val="a3"/>
            <w:rFonts w:eastAsia="Times New Roman" w:cs="Times New Roman"/>
            <w:color w:val="auto"/>
            <w:sz w:val="22"/>
            <w:szCs w:val="22"/>
          </w:rPr>
          <w:t>Ren et al., 2018</w:t>
        </w:r>
      </w:hyperlink>
      <w:r w:rsidRPr="00AA6743">
        <w:rPr>
          <w:rFonts w:eastAsia="Times New Roman" w:cs="Times New Roman"/>
          <w:sz w:val="22"/>
          <w:szCs w:val="22"/>
        </w:rPr>
        <w:t>). To overcome the identification of a reference gene and dependency on DNA calibrations, droplet digital PCR (ddPCR), a method that identifies the absolute DNA copy number in a sample, has been proposed for determination of GM copy number</w:t>
      </w:r>
      <w:r w:rsidR="00E40631">
        <w:rPr>
          <w:rFonts w:eastAsia="Times New Roman" w:cs="Times New Roman"/>
          <w:sz w:val="22"/>
          <w:szCs w:val="22"/>
        </w:rPr>
        <w:t>.</w:t>
      </w:r>
      <w:r w:rsidRPr="00AA6743">
        <w:rPr>
          <w:rFonts w:eastAsia="Times New Roman" w:cs="Times New Roman"/>
          <w:sz w:val="22"/>
          <w:szCs w:val="22"/>
        </w:rPr>
        <w:t xml:space="preserve"> </w:t>
      </w:r>
      <w:r w:rsidR="00E40631">
        <w:rPr>
          <w:rFonts w:eastAsia="Times New Roman" w:cs="Times New Roman"/>
          <w:sz w:val="22"/>
          <w:szCs w:val="22"/>
        </w:rPr>
        <w:t>.</w:t>
      </w:r>
    </w:p>
    <w:p w14:paraId="090B2505" w14:textId="77777777" w:rsidR="00E40631" w:rsidRDefault="00E40631" w:rsidP="00F952F7">
      <w:pPr>
        <w:shd w:val="clear" w:color="auto" w:fill="FFFFFF"/>
        <w:spacing w:after="100" w:afterAutospacing="1" w:line="240" w:lineRule="auto"/>
        <w:ind w:left="57" w:right="57" w:firstLine="720"/>
        <w:rPr>
          <w:rFonts w:eastAsia="Times New Roman" w:cs="Times New Roman"/>
          <w:sz w:val="22"/>
          <w:szCs w:val="22"/>
        </w:rPr>
      </w:pPr>
      <w:r>
        <w:rPr>
          <w:rFonts w:eastAsia="Times New Roman" w:cs="Times New Roman"/>
          <w:sz w:val="22"/>
          <w:szCs w:val="22"/>
        </w:rPr>
        <w:t xml:space="preserve"> </w:t>
      </w:r>
      <w:r w:rsidR="00DB0CAB" w:rsidRPr="00AA6743">
        <w:rPr>
          <w:rFonts w:eastAsia="Times New Roman" w:cs="Times New Roman"/>
          <w:sz w:val="22"/>
          <w:szCs w:val="22"/>
        </w:rPr>
        <w:t xml:space="preserve">Following identification of low-copy number transformants, the precise location(s) of the transgene(s) in the crop genome is required to be identified. </w:t>
      </w:r>
    </w:p>
    <w:p w14:paraId="1DB6D17C" w14:textId="747F5D07" w:rsidR="00DB0CAB" w:rsidRPr="00AA6743" w:rsidRDefault="00DB0CAB" w:rsidP="00F952F7">
      <w:pPr>
        <w:shd w:val="clear" w:color="auto" w:fill="FFFFFF"/>
        <w:spacing w:after="100" w:afterAutospacing="1" w:line="240" w:lineRule="auto"/>
        <w:ind w:left="57" w:right="57" w:firstLine="720"/>
        <w:rPr>
          <w:rFonts w:eastAsia="Times New Roman" w:cs="Times New Roman"/>
          <w:sz w:val="22"/>
          <w:szCs w:val="22"/>
        </w:rPr>
      </w:pPr>
      <w:r w:rsidRPr="00AA6743">
        <w:rPr>
          <w:rFonts w:eastAsia="Times New Roman" w:cs="Times New Roman"/>
          <w:sz w:val="22"/>
          <w:szCs w:val="22"/>
        </w:rPr>
        <w:t>DNA sequencing approaches have been used for this purpose, and this process may also identify backbone sequence(s), which were not intended to be introduced from the transformation vector into the host genome (</w:t>
      </w:r>
      <w:hyperlink r:id="rId14" w:anchor="B108" w:history="1">
        <w:r w:rsidRPr="00AA6743">
          <w:rPr>
            <w:rStyle w:val="a3"/>
            <w:rFonts w:eastAsia="Times New Roman" w:cs="Times New Roman"/>
            <w:color w:val="auto"/>
            <w:sz w:val="22"/>
            <w:szCs w:val="22"/>
          </w:rPr>
          <w:t>Kononov et al., 1997</w:t>
        </w:r>
      </w:hyperlink>
      <w:r w:rsidRPr="00AA6743">
        <w:rPr>
          <w:rFonts w:eastAsia="Times New Roman" w:cs="Times New Roman"/>
          <w:sz w:val="22"/>
          <w:szCs w:val="22"/>
        </w:rPr>
        <w:t>). The method traditionally used for this purpose was based on Sanger sequencing (</w:t>
      </w:r>
      <w:hyperlink r:id="rId15" w:anchor="B84" w:history="1">
        <w:r w:rsidRPr="00AA6743">
          <w:rPr>
            <w:rStyle w:val="a3"/>
            <w:rFonts w:eastAsia="Times New Roman" w:cs="Times New Roman"/>
            <w:color w:val="auto"/>
            <w:sz w:val="22"/>
            <w:szCs w:val="22"/>
          </w:rPr>
          <w:t>Guttikonda et al., 2016</w:t>
        </w:r>
      </w:hyperlink>
      <w:r w:rsidRPr="00AA6743">
        <w:rPr>
          <w:rFonts w:eastAsia="Times New Roman" w:cs="Times New Roman"/>
          <w:sz w:val="22"/>
          <w:szCs w:val="22"/>
        </w:rPr>
        <w:t>). However, the second-generation sequencing (SGS) technologies have been proposed as a new tool for molecular characterization of GM crops, due to a larger sequencing capacity and potentially higher accuracy of the resulting assembled sequence (</w:t>
      </w:r>
      <w:r w:rsidRPr="00F952F7">
        <w:rPr>
          <w:rFonts w:eastAsia="Times New Roman" w:cs="Times New Roman"/>
          <w:sz w:val="22"/>
          <w:szCs w:val="22"/>
        </w:rPr>
        <w:t>Kovalic et al., 2012</w:t>
      </w:r>
      <w:r w:rsidRPr="00AA6743">
        <w:rPr>
          <w:rFonts w:eastAsia="Times New Roman" w:cs="Times New Roman"/>
          <w:sz w:val="22"/>
          <w:szCs w:val="22"/>
        </w:rPr>
        <w:t>; </w:t>
      </w:r>
      <w:hyperlink r:id="rId16" w:anchor="B205" w:history="1">
        <w:r w:rsidRPr="00AA6743">
          <w:rPr>
            <w:rStyle w:val="a3"/>
            <w:rFonts w:eastAsia="Times New Roman" w:cs="Times New Roman"/>
            <w:color w:val="auto"/>
            <w:sz w:val="22"/>
            <w:szCs w:val="22"/>
          </w:rPr>
          <w:t>Yang et al., 2013</w:t>
        </w:r>
      </w:hyperlink>
      <w:r w:rsidRPr="00AA6743">
        <w:rPr>
          <w:rFonts w:eastAsia="Times New Roman" w:cs="Times New Roman"/>
          <w:sz w:val="22"/>
          <w:szCs w:val="22"/>
        </w:rPr>
        <w:t>; </w:t>
      </w:r>
      <w:hyperlink r:id="rId17" w:anchor="B145" w:history="1">
        <w:r w:rsidRPr="00AA6743">
          <w:rPr>
            <w:rStyle w:val="a3"/>
            <w:rFonts w:eastAsia="Times New Roman" w:cs="Times New Roman"/>
            <w:color w:val="auto"/>
            <w:sz w:val="22"/>
            <w:szCs w:val="22"/>
          </w:rPr>
          <w:t>Pauwels et al., 2015</w:t>
        </w:r>
      </w:hyperlink>
      <w:r w:rsidRPr="00AA6743">
        <w:rPr>
          <w:rFonts w:eastAsia="Times New Roman" w:cs="Times New Roman"/>
          <w:sz w:val="22"/>
          <w:szCs w:val="22"/>
        </w:rPr>
        <w:t>; </w:t>
      </w:r>
      <w:hyperlink r:id="rId18" w:anchor="B5" w:history="1">
        <w:r w:rsidRPr="00AA6743">
          <w:rPr>
            <w:rStyle w:val="a3"/>
            <w:rFonts w:eastAsia="Times New Roman" w:cs="Times New Roman"/>
            <w:color w:val="auto"/>
            <w:sz w:val="22"/>
            <w:szCs w:val="22"/>
          </w:rPr>
          <w:t>Arulandhu et al., 2016</w:t>
        </w:r>
      </w:hyperlink>
      <w:r w:rsidRPr="00AA6743">
        <w:rPr>
          <w:rFonts w:eastAsia="Times New Roman" w:cs="Times New Roman"/>
          <w:sz w:val="22"/>
          <w:szCs w:val="22"/>
        </w:rPr>
        <w:t>).</w:t>
      </w:r>
    </w:p>
    <w:p w14:paraId="098F33CE" w14:textId="6883C8D2" w:rsidR="00DB0CAB" w:rsidRPr="00AA6743" w:rsidRDefault="00DB0CAB" w:rsidP="00F952F7">
      <w:pPr>
        <w:shd w:val="clear" w:color="auto" w:fill="FFFFFF"/>
        <w:spacing w:after="100" w:afterAutospacing="1" w:line="240" w:lineRule="auto"/>
        <w:ind w:left="57" w:right="57"/>
        <w:rPr>
          <w:rFonts w:eastAsia="Times New Roman" w:cs="Times New Roman"/>
          <w:sz w:val="22"/>
          <w:szCs w:val="22"/>
        </w:rPr>
      </w:pPr>
      <w:r w:rsidRPr="00AA6743">
        <w:rPr>
          <w:rFonts w:eastAsia="Times New Roman" w:cs="Times New Roman"/>
          <w:sz w:val="22"/>
          <w:szCs w:val="22"/>
        </w:rPr>
        <w:t>The SGS approaches can increase speed, scalability, and automation in the selection of potential valuable events on the basis of their molecular profile, facilitating post-transformation screening (</w:t>
      </w:r>
      <w:hyperlink r:id="rId19" w:anchor="B109" w:history="1">
        <w:r w:rsidRPr="00AA6743">
          <w:rPr>
            <w:rStyle w:val="a3"/>
            <w:rFonts w:eastAsia="Times New Roman" w:cs="Times New Roman"/>
            <w:color w:val="auto"/>
            <w:sz w:val="22"/>
            <w:szCs w:val="22"/>
          </w:rPr>
          <w:t>Kovalic et al., 2012</w:t>
        </w:r>
      </w:hyperlink>
      <w:r w:rsidRPr="00AA6743">
        <w:rPr>
          <w:rFonts w:eastAsia="Times New Roman" w:cs="Times New Roman"/>
          <w:sz w:val="22"/>
          <w:szCs w:val="22"/>
        </w:rPr>
        <w:t>; </w:t>
      </w:r>
      <w:r w:rsidRPr="00F952F7">
        <w:rPr>
          <w:rFonts w:eastAsia="Times New Roman" w:cs="Times New Roman"/>
          <w:sz w:val="22"/>
          <w:szCs w:val="22"/>
        </w:rPr>
        <w:t>Pauwels et al., 2015</w:t>
      </w:r>
      <w:r w:rsidRPr="00AA6743">
        <w:rPr>
          <w:rFonts w:eastAsia="Times New Roman" w:cs="Times New Roman"/>
          <w:sz w:val="22"/>
          <w:szCs w:val="22"/>
        </w:rPr>
        <w:t>; </w:t>
      </w:r>
      <w:hyperlink r:id="rId20" w:anchor="B84" w:history="1">
        <w:r w:rsidRPr="00AA6743">
          <w:rPr>
            <w:rStyle w:val="a3"/>
            <w:rFonts w:eastAsia="Times New Roman" w:cs="Times New Roman"/>
            <w:color w:val="auto"/>
            <w:sz w:val="22"/>
            <w:szCs w:val="22"/>
          </w:rPr>
          <w:t>Guttikonda et al., 2016</w:t>
        </w:r>
      </w:hyperlink>
      <w:r w:rsidRPr="00AA6743">
        <w:rPr>
          <w:rFonts w:eastAsia="Times New Roman" w:cs="Times New Roman"/>
          <w:sz w:val="22"/>
          <w:szCs w:val="22"/>
        </w:rPr>
        <w:t>). However, these technologies do not directly provide information about the position of the insertion(s) in native DNA, due to short read lengths (50–400 base pairs) (</w:t>
      </w:r>
      <w:hyperlink r:id="rId21" w:anchor="B81" w:history="1">
        <w:r w:rsidRPr="00AA6743">
          <w:rPr>
            <w:rStyle w:val="a3"/>
            <w:rFonts w:eastAsia="Times New Roman" w:cs="Times New Roman"/>
            <w:color w:val="auto"/>
            <w:sz w:val="22"/>
            <w:szCs w:val="22"/>
          </w:rPr>
          <w:t>Goodwin et al., 2016</w:t>
        </w:r>
      </w:hyperlink>
      <w:r w:rsidRPr="00AA6743">
        <w:rPr>
          <w:rFonts w:eastAsia="Times New Roman" w:cs="Times New Roman"/>
          <w:sz w:val="22"/>
          <w:szCs w:val="22"/>
        </w:rPr>
        <w:t>), while transgenic constructs are typically thousands of base pairs. A computational process for alignment and/or assembly of the short sequencing reads is essential for the molecular characterization purposes, and repetitive elements commonly found in plant genomes can generate problems for the alignment/assembly procedure (</w:t>
      </w:r>
      <w:hyperlink r:id="rId22" w:anchor="B118" w:history="1">
        <w:r w:rsidRPr="00AA6743">
          <w:rPr>
            <w:rStyle w:val="a3"/>
            <w:rFonts w:eastAsia="Times New Roman" w:cs="Times New Roman"/>
            <w:color w:val="auto"/>
            <w:sz w:val="22"/>
            <w:szCs w:val="22"/>
          </w:rPr>
          <w:t>Liang et al., 2014</w:t>
        </w:r>
      </w:hyperlink>
      <w:r w:rsidRPr="00AA6743">
        <w:rPr>
          <w:rFonts w:eastAsia="Times New Roman" w:cs="Times New Roman"/>
          <w:sz w:val="22"/>
          <w:szCs w:val="22"/>
        </w:rPr>
        <w:t>).</w:t>
      </w:r>
    </w:p>
    <w:p w14:paraId="55C30A53" w14:textId="77777777" w:rsidR="00DB0CAB" w:rsidRPr="00AA6743" w:rsidRDefault="00DB0CAB" w:rsidP="00F952F7">
      <w:pPr>
        <w:shd w:val="clear" w:color="auto" w:fill="FFFFFF"/>
        <w:spacing w:after="100" w:afterAutospacing="1" w:line="240" w:lineRule="auto"/>
        <w:ind w:left="57" w:right="57"/>
        <w:rPr>
          <w:rFonts w:eastAsia="Times New Roman" w:cs="Times New Roman"/>
          <w:sz w:val="22"/>
          <w:szCs w:val="22"/>
        </w:rPr>
      </w:pPr>
      <w:r w:rsidRPr="00AA6743">
        <w:rPr>
          <w:rFonts w:eastAsia="Times New Roman" w:cs="Times New Roman"/>
          <w:sz w:val="22"/>
          <w:szCs w:val="22"/>
        </w:rPr>
        <w:t>Recently, single-molecule sequencing, also termed third-generation sequencing (TGS) platforms, have been commercialized allowing a large increase in read length up to tens of thousands of bases per read (</w:t>
      </w:r>
      <w:hyperlink r:id="rId23" w:anchor="B121" w:history="1">
        <w:r w:rsidRPr="00AA6743">
          <w:rPr>
            <w:rStyle w:val="a3"/>
            <w:rFonts w:eastAsia="Times New Roman" w:cs="Times New Roman"/>
            <w:color w:val="auto"/>
            <w:sz w:val="22"/>
            <w:szCs w:val="22"/>
          </w:rPr>
          <w:t xml:space="preserve">Loose et </w:t>
        </w:r>
        <w:r w:rsidRPr="00AA6743">
          <w:rPr>
            <w:rStyle w:val="a3"/>
            <w:rFonts w:eastAsia="Times New Roman" w:cs="Times New Roman"/>
            <w:color w:val="auto"/>
            <w:sz w:val="22"/>
            <w:szCs w:val="22"/>
          </w:rPr>
          <w:lastRenderedPageBreak/>
          <w:t>al., 2016</w:t>
        </w:r>
      </w:hyperlink>
      <w:r w:rsidRPr="00AA6743">
        <w:rPr>
          <w:rFonts w:eastAsia="Times New Roman" w:cs="Times New Roman"/>
          <w:sz w:val="22"/>
          <w:szCs w:val="22"/>
        </w:rPr>
        <w:t>). Read length is limited by the input DNA fragment size, but over 300 kb have been reported (</w:t>
      </w:r>
      <w:hyperlink r:id="rId24" w:anchor="B102" w:history="1">
        <w:r w:rsidRPr="00AA6743">
          <w:rPr>
            <w:rStyle w:val="a3"/>
            <w:rFonts w:eastAsia="Times New Roman" w:cs="Times New Roman"/>
            <w:color w:val="auto"/>
            <w:sz w:val="22"/>
            <w:szCs w:val="22"/>
          </w:rPr>
          <w:t>Jain et al., 2016</w:t>
        </w:r>
      </w:hyperlink>
      <w:r w:rsidRPr="00AA6743">
        <w:rPr>
          <w:rFonts w:eastAsia="Times New Roman" w:cs="Times New Roman"/>
          <w:sz w:val="22"/>
          <w:szCs w:val="22"/>
        </w:rPr>
        <w:t>). The increment in read lengths up to tens of thousands can facilitate a more reliable GM characterization process, by extending the sequence reads of the flanking regions present in the captured fragments and potentially solving alignment problems.</w:t>
      </w:r>
    </w:p>
    <w:p w14:paraId="366FFD9A" w14:textId="77777777" w:rsidR="00DB0CAB" w:rsidRPr="00AA6743" w:rsidRDefault="00DB0CAB" w:rsidP="00F952F7">
      <w:pPr>
        <w:shd w:val="clear" w:color="auto" w:fill="FFFFFF"/>
        <w:spacing w:after="100" w:afterAutospacing="1" w:line="240" w:lineRule="auto"/>
        <w:ind w:left="57" w:right="57" w:firstLine="720"/>
        <w:rPr>
          <w:rFonts w:eastAsia="Times New Roman" w:cs="Times New Roman"/>
          <w:sz w:val="22"/>
          <w:szCs w:val="22"/>
        </w:rPr>
      </w:pPr>
      <w:r w:rsidRPr="00AA6743">
        <w:rPr>
          <w:rFonts w:eastAsia="Times New Roman" w:cs="Times New Roman"/>
          <w:sz w:val="22"/>
          <w:szCs w:val="22"/>
        </w:rPr>
        <w:t>The most common TGS platforms are products from Pacific Biosciences (PacBio, Menlo Park, CA, US) and Oxford Nanopore Technologies (ONT Oxford Science Park, Oxford). PacBio uses a sequencing-by-synthesis method to capture a single DNA molecule and a circular consensus sequence (CCS) to increase accuracy. The CCS uses a circular DNA template by ligating hairpin adaptors to both ends of target double-stranded DNA, so the DNA template is sequenced multiple times to generate a continuous long read (</w:t>
      </w:r>
      <w:hyperlink r:id="rId25" w:anchor="B197" w:history="1">
        <w:r w:rsidRPr="00AA6743">
          <w:rPr>
            <w:rStyle w:val="a3"/>
            <w:rFonts w:eastAsia="Times New Roman" w:cs="Times New Roman"/>
            <w:color w:val="auto"/>
            <w:sz w:val="22"/>
            <w:szCs w:val="22"/>
          </w:rPr>
          <w:t>Weirather et al., 2017</w:t>
        </w:r>
      </w:hyperlink>
      <w:r w:rsidRPr="00AA6743">
        <w:rPr>
          <w:rFonts w:eastAsia="Times New Roman" w:cs="Times New Roman"/>
          <w:sz w:val="22"/>
          <w:szCs w:val="22"/>
        </w:rPr>
        <w:t>). Nanopore sequencing, uses nanopores to sequence native single-stranded DNA, by measuring the changes in an electric current passed across the pore as the DNA bases pass through, disrupting the current to different levels with different nucleotides (</w:t>
      </w:r>
      <w:hyperlink r:id="rId26" w:anchor="B76" w:history="1">
        <w:r w:rsidRPr="00AA6743">
          <w:rPr>
            <w:rStyle w:val="a3"/>
            <w:rFonts w:eastAsia="Times New Roman" w:cs="Times New Roman"/>
            <w:color w:val="auto"/>
            <w:sz w:val="22"/>
            <w:szCs w:val="22"/>
          </w:rPr>
          <w:t>Giordano et al., 2017</w:t>
        </w:r>
      </w:hyperlink>
      <w:r w:rsidRPr="00AA6743">
        <w:rPr>
          <w:rFonts w:eastAsia="Times New Roman" w:cs="Times New Roman"/>
          <w:sz w:val="22"/>
          <w:szCs w:val="22"/>
        </w:rPr>
        <w:t>).</w:t>
      </w:r>
    </w:p>
    <w:p w14:paraId="5C69E1E6" w14:textId="77777777" w:rsidR="00E81FE7" w:rsidRPr="00AA6743" w:rsidRDefault="00E81FE7" w:rsidP="00F952F7">
      <w:pPr>
        <w:shd w:val="clear" w:color="auto" w:fill="FFFFFF"/>
        <w:spacing w:after="100" w:afterAutospacing="1" w:line="240" w:lineRule="auto"/>
        <w:ind w:left="57" w:right="57"/>
        <w:rPr>
          <w:rFonts w:eastAsia="Times New Roman" w:cs="Times New Roman"/>
          <w:sz w:val="22"/>
          <w:szCs w:val="22"/>
        </w:rPr>
      </w:pPr>
      <w:r w:rsidRPr="00AA6743">
        <w:rPr>
          <w:rFonts w:eastAsia="Times New Roman" w:cs="Times New Roman"/>
          <w:sz w:val="22"/>
          <w:szCs w:val="22"/>
        </w:rPr>
        <w:t>Nanopore sequencing offers potential benefits in molecular characterization of GM products compared with PacBio, since it delivers raw data in real-time, is relatively easy to manipulate, and has low setup costs. The MinION from ONT is a portable device that has been successfully assessed for detection of unauthorized GM products (</w:t>
      </w:r>
      <w:hyperlink r:id="rId27" w:anchor="B67" w:history="1">
        <w:r w:rsidRPr="00AA6743">
          <w:rPr>
            <w:rStyle w:val="a3"/>
            <w:rFonts w:eastAsia="Times New Roman" w:cs="Times New Roman"/>
            <w:color w:val="auto"/>
            <w:sz w:val="22"/>
            <w:szCs w:val="22"/>
          </w:rPr>
          <w:t>Fraiture et al., 2018</w:t>
        </w:r>
      </w:hyperlink>
      <w:r w:rsidRPr="00AA6743">
        <w:rPr>
          <w:rFonts w:eastAsia="Times New Roman" w:cs="Times New Roman"/>
          <w:sz w:val="22"/>
          <w:szCs w:val="22"/>
        </w:rPr>
        <w:t>). Further assessment demonstrated the capability of the MinION to determine the full molecular characterization of three transgenic crops (ryegrass, canola and clover) within 48 hours.</w:t>
      </w:r>
    </w:p>
    <w:p w14:paraId="012B5609" w14:textId="66F3D98E" w:rsidR="00E81FE7" w:rsidRPr="00AA6743" w:rsidRDefault="00E81FE7" w:rsidP="00F952F7">
      <w:pPr>
        <w:shd w:val="clear" w:color="auto" w:fill="FFFFFF"/>
        <w:spacing w:after="100" w:afterAutospacing="1" w:line="240" w:lineRule="auto"/>
        <w:ind w:left="57" w:right="57"/>
        <w:outlineLvl w:val="2"/>
        <w:rPr>
          <w:rFonts w:eastAsia="Times New Roman" w:cs="Times New Roman"/>
          <w:spacing w:val="-2"/>
          <w:sz w:val="22"/>
          <w:szCs w:val="22"/>
        </w:rPr>
      </w:pPr>
      <w:r w:rsidRPr="00AA6743">
        <w:rPr>
          <w:rFonts w:eastAsia="Times New Roman" w:cs="Times New Roman"/>
          <w:sz w:val="22"/>
          <w:szCs w:val="22"/>
        </w:rPr>
        <w:t>Although, new guidelines are emerging from regulatory bodies to generate pre-market submission of data using whole genome sequencing (</w:t>
      </w:r>
      <w:hyperlink r:id="rId28" w:anchor="B89" w:history="1">
        <w:r w:rsidRPr="00AA6743">
          <w:rPr>
            <w:rStyle w:val="a3"/>
            <w:rFonts w:eastAsia="Times New Roman" w:cs="Times New Roman"/>
            <w:color w:val="auto"/>
            <w:sz w:val="22"/>
            <w:szCs w:val="22"/>
          </w:rPr>
          <w:t>Health Canada, 2019</w:t>
        </w:r>
      </w:hyperlink>
      <w:r w:rsidRPr="00AA6743">
        <w:rPr>
          <w:rFonts w:eastAsia="Times New Roman" w:cs="Times New Roman"/>
          <w:sz w:val="22"/>
          <w:szCs w:val="22"/>
        </w:rPr>
        <w:t>) and NGS (</w:t>
      </w:r>
      <w:hyperlink r:id="rId29" w:anchor="B185" w:history="1">
        <w:r w:rsidRPr="00AA6743">
          <w:rPr>
            <w:rStyle w:val="a3"/>
            <w:rFonts w:eastAsia="Times New Roman" w:cs="Times New Roman"/>
            <w:color w:val="auto"/>
            <w:sz w:val="22"/>
            <w:szCs w:val="22"/>
          </w:rPr>
          <w:t>UCD Centre for Food Safety et al., 2018</w:t>
        </w:r>
      </w:hyperlink>
      <w:r w:rsidRPr="00AA6743">
        <w:rPr>
          <w:rFonts w:eastAsia="Times New Roman" w:cs="Times New Roman"/>
          <w:sz w:val="22"/>
          <w:szCs w:val="22"/>
        </w:rPr>
        <w:t>). Sequencing approaches are typically being used in tandem, for example Sanger sequencing with SGS or SGS with TGS, for verification and validation purposes during risk assessment of GM crops</w:t>
      </w:r>
      <w:r w:rsidRPr="00AA6743">
        <w:rPr>
          <w:rFonts w:eastAsia="Times New Roman" w:cs="Times New Roman"/>
          <w:spacing w:val="-2"/>
          <w:sz w:val="22"/>
          <w:szCs w:val="22"/>
        </w:rPr>
        <w:t xml:space="preserve"> GM Traceability</w:t>
      </w:r>
    </w:p>
    <w:p w14:paraId="76904BF1" w14:textId="77777777" w:rsidR="00E81FE7" w:rsidRPr="00AA6743" w:rsidRDefault="00E81FE7" w:rsidP="00F952F7">
      <w:pPr>
        <w:shd w:val="clear" w:color="auto" w:fill="FFFFFF"/>
        <w:spacing w:after="100" w:afterAutospacing="1" w:line="240" w:lineRule="auto"/>
        <w:ind w:left="57" w:right="57"/>
        <w:rPr>
          <w:rFonts w:eastAsia="Times New Roman" w:cs="Times New Roman"/>
          <w:sz w:val="22"/>
          <w:szCs w:val="22"/>
        </w:rPr>
      </w:pPr>
      <w:r w:rsidRPr="00AA6743">
        <w:rPr>
          <w:rFonts w:eastAsia="Times New Roman" w:cs="Times New Roman"/>
          <w:sz w:val="22"/>
          <w:szCs w:val="22"/>
        </w:rPr>
        <w:t>GM traceability describes a system that enables tracking of GM food/feed products at all stages of the supply chain (</w:t>
      </w:r>
      <w:hyperlink r:id="rId30" w:anchor="B78" w:history="1">
        <w:r w:rsidRPr="00AA6743">
          <w:rPr>
            <w:rStyle w:val="a3"/>
            <w:rFonts w:eastAsia="Times New Roman" w:cs="Times New Roman"/>
            <w:color w:val="auto"/>
            <w:sz w:val="22"/>
            <w:szCs w:val="22"/>
          </w:rPr>
          <w:t>Giraldo et al., 2019</w:t>
        </w:r>
      </w:hyperlink>
      <w:r w:rsidRPr="00AA6743">
        <w:rPr>
          <w:rFonts w:eastAsia="Times New Roman" w:cs="Times New Roman"/>
          <w:sz w:val="22"/>
          <w:szCs w:val="22"/>
        </w:rPr>
        <w:t>). Detection methods for GM products in different matrixes or substrates, such as grain, flour and forage, are not only important to ensure legality and traceability, but also to comply with GM labeling regulations (</w:t>
      </w:r>
      <w:hyperlink r:id="rId31" w:anchor="B55" w:history="1">
        <w:r w:rsidRPr="00AA6743">
          <w:rPr>
            <w:rStyle w:val="a3"/>
            <w:rFonts w:eastAsia="Times New Roman" w:cs="Times New Roman"/>
            <w:color w:val="auto"/>
            <w:sz w:val="22"/>
            <w:szCs w:val="22"/>
          </w:rPr>
          <w:t>European Parliament, 2003</w:t>
        </w:r>
      </w:hyperlink>
      <w:r w:rsidRPr="00AA6743">
        <w:rPr>
          <w:rFonts w:eastAsia="Times New Roman" w:cs="Times New Roman"/>
          <w:sz w:val="22"/>
          <w:szCs w:val="22"/>
        </w:rPr>
        <w:t>).</w:t>
      </w:r>
    </w:p>
    <w:p w14:paraId="18BE50FE" w14:textId="77777777" w:rsidR="00E81FE7" w:rsidRPr="00AA6743" w:rsidRDefault="00E81FE7" w:rsidP="00F952F7">
      <w:pPr>
        <w:shd w:val="clear" w:color="auto" w:fill="FFFFFF"/>
        <w:spacing w:after="100" w:afterAutospacing="1" w:line="240" w:lineRule="auto"/>
        <w:ind w:left="57" w:right="57"/>
        <w:rPr>
          <w:rFonts w:eastAsia="Times New Roman" w:cs="Times New Roman"/>
          <w:sz w:val="22"/>
          <w:szCs w:val="22"/>
        </w:rPr>
      </w:pPr>
      <w:r w:rsidRPr="00AA6743">
        <w:rPr>
          <w:rFonts w:eastAsia="Times New Roman" w:cs="Times New Roman"/>
          <w:sz w:val="22"/>
          <w:szCs w:val="22"/>
        </w:rPr>
        <w:t>Methods for GM detection and identification usually rely on certified reference materials that are in powdered form, however, routine detection must be performed in different agricultural and food products (</w:t>
      </w:r>
      <w:hyperlink r:id="rId32" w:anchor="B26" w:history="1">
        <w:r w:rsidRPr="00AA6743">
          <w:rPr>
            <w:rStyle w:val="a3"/>
            <w:rFonts w:eastAsia="Times New Roman" w:cs="Times New Roman"/>
            <w:color w:val="auto"/>
            <w:sz w:val="22"/>
            <w:szCs w:val="22"/>
          </w:rPr>
          <w:t>Cankar et al., 2006</w:t>
        </w:r>
      </w:hyperlink>
      <w:r w:rsidRPr="00AA6743">
        <w:rPr>
          <w:rFonts w:eastAsia="Times New Roman" w:cs="Times New Roman"/>
          <w:sz w:val="22"/>
          <w:szCs w:val="22"/>
        </w:rPr>
        <w:t>). The selection of DNA extraction protocols is of crucial importance, since the DNA can be present in low amounts, carrying inhibitors or degraded (</w:t>
      </w:r>
      <w:hyperlink r:id="rId33" w:anchor="B164" w:history="1">
        <w:r w:rsidRPr="00AA6743">
          <w:rPr>
            <w:rStyle w:val="a3"/>
            <w:rFonts w:eastAsia="Times New Roman" w:cs="Times New Roman"/>
            <w:color w:val="auto"/>
            <w:sz w:val="22"/>
            <w:szCs w:val="22"/>
          </w:rPr>
          <w:t>SanJuan-Badillo et al., 2014</w:t>
        </w:r>
      </w:hyperlink>
      <w:r w:rsidRPr="00AA6743">
        <w:rPr>
          <w:rFonts w:eastAsia="Times New Roman" w:cs="Times New Roman"/>
          <w:sz w:val="22"/>
          <w:szCs w:val="22"/>
        </w:rPr>
        <w:t>). Therefore, the extraction method should be evaluated for each agricultural product, guaranteeing high DNA yield and purity (</w:t>
      </w:r>
      <w:hyperlink r:id="rId34" w:anchor="B183" w:history="1">
        <w:r w:rsidRPr="00AA6743">
          <w:rPr>
            <w:rStyle w:val="a3"/>
            <w:rFonts w:eastAsia="Times New Roman" w:cs="Times New Roman"/>
            <w:color w:val="auto"/>
            <w:sz w:val="22"/>
            <w:szCs w:val="22"/>
          </w:rPr>
          <w:t>Turkec et al., 2015</w:t>
        </w:r>
      </w:hyperlink>
      <w:r w:rsidRPr="00AA6743">
        <w:rPr>
          <w:rFonts w:eastAsia="Times New Roman" w:cs="Times New Roman"/>
          <w:sz w:val="22"/>
          <w:szCs w:val="22"/>
        </w:rPr>
        <w:t>).</w:t>
      </w:r>
    </w:p>
    <w:p w14:paraId="5835E9A1" w14:textId="77777777" w:rsidR="00E81FE7" w:rsidRPr="00AA6743" w:rsidRDefault="00E81FE7" w:rsidP="00F952F7">
      <w:pPr>
        <w:shd w:val="clear" w:color="auto" w:fill="FFFFFF"/>
        <w:spacing w:after="100" w:afterAutospacing="1" w:line="240" w:lineRule="auto"/>
        <w:ind w:left="57" w:right="57"/>
        <w:rPr>
          <w:rFonts w:eastAsia="Times New Roman" w:cs="Times New Roman"/>
          <w:sz w:val="22"/>
          <w:szCs w:val="22"/>
        </w:rPr>
      </w:pPr>
      <w:r w:rsidRPr="00AA6743">
        <w:rPr>
          <w:rFonts w:eastAsia="Times New Roman" w:cs="Times New Roman"/>
          <w:sz w:val="22"/>
          <w:szCs w:val="22"/>
        </w:rPr>
        <w:t>The method chosen to comply to traceability and labeling requirements, should be sensitive enough to detect the transgene(s) at levels below the corresponding jurisdiction tolerance threshold (e.g., 5% in US, 1% AU, and 0.9% in EU) (</w:t>
      </w:r>
      <w:hyperlink r:id="rId35" w:anchor="B152" w:history="1">
        <w:r w:rsidRPr="00AA6743">
          <w:rPr>
            <w:rStyle w:val="a3"/>
            <w:rFonts w:eastAsia="Times New Roman" w:cs="Times New Roman"/>
            <w:color w:val="auto"/>
            <w:sz w:val="22"/>
            <w:szCs w:val="22"/>
          </w:rPr>
          <w:t>Ramessar et al., 2010</w:t>
        </w:r>
      </w:hyperlink>
      <w:r w:rsidRPr="00AA6743">
        <w:rPr>
          <w:rFonts w:eastAsia="Times New Roman" w:cs="Times New Roman"/>
          <w:sz w:val="22"/>
          <w:szCs w:val="22"/>
        </w:rPr>
        <w:t>). Additionally, it should be able to detect the transgene(s) from raw agricultural commodities entering the feed production chain. For instance, fresh leaves, dry leaves (hay), pollen, seeds, tillers or stems, and forage that could enter the feed chain as unprocessed material (</w:t>
      </w:r>
      <w:hyperlink r:id="rId36" w:anchor="B11" w:history="1">
        <w:r w:rsidRPr="00AA6743">
          <w:rPr>
            <w:rStyle w:val="a3"/>
            <w:rFonts w:eastAsia="Times New Roman" w:cs="Times New Roman"/>
            <w:color w:val="auto"/>
            <w:sz w:val="22"/>
            <w:szCs w:val="22"/>
          </w:rPr>
          <w:t>Ardizzone et al., 2018</w:t>
        </w:r>
      </w:hyperlink>
      <w:r w:rsidRPr="00AA6743">
        <w:rPr>
          <w:rFonts w:eastAsia="Times New Roman" w:cs="Times New Roman"/>
          <w:sz w:val="22"/>
          <w:szCs w:val="22"/>
        </w:rPr>
        <w:t>; </w:t>
      </w:r>
      <w:hyperlink r:id="rId37" w:anchor="B78" w:history="1">
        <w:r w:rsidRPr="00AA6743">
          <w:rPr>
            <w:rStyle w:val="a3"/>
            <w:rFonts w:eastAsia="Times New Roman" w:cs="Times New Roman"/>
            <w:color w:val="auto"/>
            <w:sz w:val="22"/>
            <w:szCs w:val="22"/>
          </w:rPr>
          <w:t>Giraldo et al., 2019</w:t>
        </w:r>
      </w:hyperlink>
      <w:r w:rsidRPr="00AA6743">
        <w:rPr>
          <w:rFonts w:eastAsia="Times New Roman" w:cs="Times New Roman"/>
          <w:sz w:val="22"/>
          <w:szCs w:val="22"/>
        </w:rPr>
        <w:t>).</w:t>
      </w:r>
    </w:p>
    <w:p w14:paraId="275098A9" w14:textId="77777777" w:rsidR="00E81FE7" w:rsidRPr="00AA6743" w:rsidRDefault="00E81FE7" w:rsidP="00F952F7">
      <w:pPr>
        <w:shd w:val="clear" w:color="auto" w:fill="FFFFFF"/>
        <w:spacing w:after="100" w:afterAutospacing="1" w:line="240" w:lineRule="auto"/>
        <w:ind w:left="57" w:right="57"/>
        <w:rPr>
          <w:rFonts w:eastAsia="Times New Roman" w:cs="Times New Roman"/>
          <w:sz w:val="22"/>
          <w:szCs w:val="22"/>
        </w:rPr>
      </w:pPr>
      <w:r w:rsidRPr="00AA6743">
        <w:rPr>
          <w:rFonts w:eastAsia="Times New Roman" w:cs="Times New Roman"/>
          <w:sz w:val="22"/>
          <w:szCs w:val="22"/>
        </w:rPr>
        <w:t>Currently, qPCR is the standard method used in national reference laboratories for detection and quantification of GM events (</w:t>
      </w:r>
      <w:hyperlink r:id="rId38" w:anchor="B35" w:history="1">
        <w:r w:rsidRPr="00AA6743">
          <w:rPr>
            <w:rStyle w:val="a3"/>
            <w:rFonts w:eastAsia="Times New Roman" w:cs="Times New Roman"/>
            <w:color w:val="auto"/>
            <w:sz w:val="22"/>
            <w:szCs w:val="22"/>
          </w:rPr>
          <w:t>Dalmira et al., 2016</w:t>
        </w:r>
      </w:hyperlink>
      <w:r w:rsidRPr="00AA6743">
        <w:rPr>
          <w:rFonts w:eastAsia="Times New Roman" w:cs="Times New Roman"/>
          <w:sz w:val="22"/>
          <w:szCs w:val="22"/>
        </w:rPr>
        <w:t>). The requirement for reference material to be used as calibrants, which sometimes are not commercially available, limits its effectiveness (</w:t>
      </w:r>
      <w:hyperlink r:id="rId39" w:anchor="B44" w:history="1">
        <w:r w:rsidRPr="00AA6743">
          <w:rPr>
            <w:rStyle w:val="a3"/>
            <w:rFonts w:eastAsia="Times New Roman" w:cs="Times New Roman"/>
            <w:color w:val="auto"/>
            <w:sz w:val="22"/>
            <w:szCs w:val="22"/>
          </w:rPr>
          <w:t>Dobnik et al., 2016</w:t>
        </w:r>
      </w:hyperlink>
      <w:r w:rsidRPr="00AA6743">
        <w:rPr>
          <w:rFonts w:eastAsia="Times New Roman" w:cs="Times New Roman"/>
          <w:sz w:val="22"/>
          <w:szCs w:val="22"/>
        </w:rPr>
        <w:t>; </w:t>
      </w:r>
      <w:hyperlink r:id="rId40" w:anchor="B35" w:history="1">
        <w:r w:rsidRPr="00AA6743">
          <w:rPr>
            <w:rStyle w:val="a3"/>
            <w:rFonts w:eastAsia="Times New Roman" w:cs="Times New Roman"/>
            <w:color w:val="auto"/>
            <w:sz w:val="22"/>
            <w:szCs w:val="22"/>
          </w:rPr>
          <w:t>Dalmira et al., 2016</w:t>
        </w:r>
      </w:hyperlink>
      <w:r w:rsidRPr="00AA6743">
        <w:rPr>
          <w:rFonts w:eastAsia="Times New Roman" w:cs="Times New Roman"/>
          <w:sz w:val="22"/>
          <w:szCs w:val="22"/>
        </w:rPr>
        <w:t>). The GM product detection process followed by national reference laboratories consist of two consecutive steps; first, a qPCR screening of vectors commonly found in GM products, such as the 35S promoter from cauliflower mosaic virus, </w:t>
      </w:r>
      <w:r w:rsidRPr="00AA6743">
        <w:rPr>
          <w:rFonts w:eastAsia="Times New Roman" w:cs="Times New Roman"/>
          <w:i/>
          <w:iCs/>
          <w:sz w:val="22"/>
          <w:szCs w:val="22"/>
        </w:rPr>
        <w:t>Agrobacterium tumefaciens</w:t>
      </w:r>
      <w:r w:rsidRPr="00AA6743">
        <w:rPr>
          <w:rFonts w:eastAsia="Times New Roman" w:cs="Times New Roman"/>
          <w:sz w:val="22"/>
          <w:szCs w:val="22"/>
        </w:rPr>
        <w:t xml:space="preserve"> (tNOS) and selectable </w:t>
      </w:r>
      <w:r w:rsidRPr="00AA6743">
        <w:rPr>
          <w:rFonts w:eastAsia="Times New Roman" w:cs="Times New Roman"/>
          <w:sz w:val="22"/>
          <w:szCs w:val="22"/>
        </w:rPr>
        <w:lastRenderedPageBreak/>
        <w:t>markers. Then, the samples with a potential presence of GM materials, are tested using the corresponding GM event-specific method (</w:t>
      </w:r>
      <w:hyperlink r:id="rId41" w:anchor="B66" w:history="1">
        <w:r w:rsidRPr="00AA6743">
          <w:rPr>
            <w:rStyle w:val="a3"/>
            <w:rFonts w:eastAsia="Times New Roman" w:cs="Times New Roman"/>
            <w:color w:val="auto"/>
            <w:sz w:val="22"/>
            <w:szCs w:val="22"/>
          </w:rPr>
          <w:t>Fraiture et al., 2017</w:t>
        </w:r>
      </w:hyperlink>
      <w:r w:rsidRPr="00AA6743">
        <w:rPr>
          <w:rFonts w:eastAsia="Times New Roman" w:cs="Times New Roman"/>
          <w:sz w:val="22"/>
          <w:szCs w:val="22"/>
        </w:rPr>
        <w:t>).</w:t>
      </w:r>
    </w:p>
    <w:p w14:paraId="22F898D3" w14:textId="35DD38D0" w:rsidR="00F952F7" w:rsidRDefault="00CB2044" w:rsidP="00F952F7">
      <w:pPr>
        <w:shd w:val="clear" w:color="auto" w:fill="FFFFFF"/>
        <w:spacing w:after="100" w:afterAutospacing="1" w:line="450" w:lineRule="atLeast"/>
        <w:ind w:left="57" w:right="57"/>
        <w:outlineLvl w:val="2"/>
        <w:rPr>
          <w:color w:val="111111"/>
          <w:sz w:val="22"/>
          <w:szCs w:val="22"/>
        </w:rPr>
      </w:pPr>
      <w:r>
        <w:rPr>
          <w:b/>
          <w:bCs/>
          <w:sz w:val="22"/>
          <w:szCs w:val="22"/>
        </w:rPr>
        <w:t>Lab 10.</w:t>
      </w:r>
      <w:r>
        <w:rPr>
          <w:bCs/>
          <w:sz w:val="22"/>
          <w:szCs w:val="22"/>
        </w:rPr>
        <w:t xml:space="preserve">  Theme</w:t>
      </w:r>
      <w:r w:rsidR="00BC4077">
        <w:rPr>
          <w:bCs/>
          <w:sz w:val="22"/>
          <w:szCs w:val="22"/>
        </w:rPr>
        <w:t xml:space="preserve">: </w:t>
      </w:r>
      <w:r w:rsidR="00BC4077" w:rsidRPr="00BC4077">
        <w:rPr>
          <w:rFonts w:eastAsia="Times New Roman" w:cs="Times New Roman"/>
          <w:color w:val="212121"/>
          <w:sz w:val="22"/>
          <w:szCs w:val="22"/>
        </w:rPr>
        <w:t>Molecular characterization of GM crops</w:t>
      </w:r>
      <w:r w:rsidR="00BC4077">
        <w:rPr>
          <w:rFonts w:eastAsia="Times New Roman" w:cs="Times New Roman"/>
          <w:color w:val="212121"/>
          <w:sz w:val="22"/>
          <w:szCs w:val="22"/>
        </w:rPr>
        <w:t>.</w:t>
      </w:r>
      <w:r>
        <w:rPr>
          <w:bCs/>
          <w:sz w:val="22"/>
          <w:szCs w:val="22"/>
        </w:rPr>
        <w:t xml:space="preserve"> Techniques for determination of </w:t>
      </w:r>
      <w:r>
        <w:rPr>
          <w:color w:val="111111"/>
          <w:sz w:val="22"/>
          <w:szCs w:val="22"/>
        </w:rPr>
        <w:t>alimentary cellulose, and pre- and probiotics</w:t>
      </w:r>
      <w:r w:rsidR="00BC4077">
        <w:rPr>
          <w:color w:val="111111"/>
          <w:sz w:val="22"/>
          <w:szCs w:val="22"/>
        </w:rPr>
        <w:t>.</w:t>
      </w:r>
    </w:p>
    <w:p w14:paraId="16E6B202" w14:textId="14AA6DE1" w:rsidR="00BC4077" w:rsidRPr="00BC4077" w:rsidRDefault="00BC4077" w:rsidP="00BC4077">
      <w:pPr>
        <w:shd w:val="clear" w:color="auto" w:fill="FFFFFF"/>
        <w:spacing w:after="100" w:afterAutospacing="1" w:line="240" w:lineRule="auto"/>
        <w:ind w:left="57" w:right="57" w:firstLine="720"/>
        <w:rPr>
          <w:rFonts w:eastAsia="Times New Roman" w:cs="Times New Roman"/>
          <w:color w:val="212121"/>
          <w:sz w:val="22"/>
          <w:szCs w:val="22"/>
        </w:rPr>
      </w:pPr>
      <w:r w:rsidRPr="00BC4077">
        <w:rPr>
          <w:rFonts w:eastAsia="Times New Roman" w:cs="Times New Roman"/>
          <w:color w:val="212121"/>
          <w:sz w:val="22"/>
          <w:szCs w:val="22"/>
        </w:rPr>
        <w:t>is a full description of the structural information of the transgene and stability of the trait (</w:t>
      </w:r>
      <w:hyperlink r:id="rId42" w:anchor="B117" w:history="1">
        <w:r w:rsidRPr="00BC4077">
          <w:rPr>
            <w:rStyle w:val="a3"/>
            <w:rFonts w:eastAsia="Times New Roman" w:cs="Times New Roman"/>
            <w:color w:val="376FAA"/>
            <w:sz w:val="22"/>
            <w:szCs w:val="22"/>
          </w:rPr>
          <w:t>Li et al., 2017</w:t>
        </w:r>
      </w:hyperlink>
      <w:r w:rsidRPr="00BC4077">
        <w:rPr>
          <w:rFonts w:eastAsia="Times New Roman" w:cs="Times New Roman"/>
          <w:color w:val="212121"/>
          <w:sz w:val="22"/>
          <w:szCs w:val="22"/>
        </w:rPr>
        <w:t xml:space="preserve">). It is the foundation of all GM product safety assessments before </w:t>
      </w:r>
      <w:r w:rsidRPr="00BC4077">
        <w:rPr>
          <w:rFonts w:eastAsia="Times New Roman" w:cs="Times New Roman"/>
          <w:color w:val="FF0000"/>
          <w:sz w:val="22"/>
          <w:szCs w:val="22"/>
        </w:rPr>
        <w:t>commercialization</w:t>
      </w:r>
      <w:r w:rsidRPr="00BC4077">
        <w:rPr>
          <w:rFonts w:eastAsia="Times New Roman" w:cs="Times New Roman"/>
          <w:color w:val="212121"/>
          <w:sz w:val="22"/>
          <w:szCs w:val="22"/>
        </w:rPr>
        <w:t xml:space="preserve"> and also serves as a baseline for the development of detection and identification tools to satisfy traceability and labeling requirements (</w:t>
      </w:r>
      <w:hyperlink r:id="rId43" w:anchor="B55" w:history="1">
        <w:r w:rsidRPr="00BC4077">
          <w:rPr>
            <w:rStyle w:val="a3"/>
            <w:rFonts w:eastAsia="Times New Roman" w:cs="Times New Roman"/>
            <w:color w:val="376FAA"/>
            <w:sz w:val="22"/>
            <w:szCs w:val="22"/>
          </w:rPr>
          <w:t>European Parliament, 2003</w:t>
        </w:r>
      </w:hyperlink>
      <w:r w:rsidRPr="00BC4077">
        <w:rPr>
          <w:rFonts w:eastAsia="Times New Roman" w:cs="Times New Roman"/>
          <w:color w:val="212121"/>
          <w:sz w:val="22"/>
          <w:szCs w:val="22"/>
        </w:rPr>
        <w:t>).</w:t>
      </w:r>
    </w:p>
    <w:p w14:paraId="2B47A3E9" w14:textId="77777777" w:rsidR="00BC4077" w:rsidRPr="00BC4077" w:rsidRDefault="00BC4077" w:rsidP="00BC4077">
      <w:pPr>
        <w:shd w:val="clear" w:color="auto" w:fill="FFFFFF"/>
        <w:spacing w:after="100" w:afterAutospacing="1" w:line="240" w:lineRule="auto"/>
        <w:ind w:left="57" w:right="57" w:firstLine="720"/>
        <w:rPr>
          <w:rFonts w:eastAsia="Times New Roman" w:cs="Times New Roman"/>
          <w:color w:val="212121"/>
          <w:sz w:val="22"/>
          <w:szCs w:val="22"/>
        </w:rPr>
      </w:pPr>
      <w:r w:rsidRPr="00BC4077">
        <w:rPr>
          <w:rFonts w:eastAsia="Times New Roman" w:cs="Times New Roman"/>
          <w:color w:val="212121"/>
          <w:sz w:val="22"/>
          <w:szCs w:val="22"/>
        </w:rPr>
        <w:t xml:space="preserve"> Stakeholders of both GM food and feed, must provide information on the genomic locus/loci modified, copy number of the inserted transgene, insertion site, and flanking regions (</w:t>
      </w:r>
      <w:hyperlink r:id="rId44" w:anchor="B84" w:history="1">
        <w:r w:rsidRPr="00BC4077">
          <w:rPr>
            <w:rStyle w:val="a3"/>
            <w:rFonts w:eastAsia="Times New Roman" w:cs="Times New Roman"/>
            <w:color w:val="376FAA"/>
            <w:sz w:val="22"/>
            <w:szCs w:val="22"/>
          </w:rPr>
          <w:t>Guttikonda et al., 2016</w:t>
        </w:r>
      </w:hyperlink>
      <w:r w:rsidRPr="00BC4077">
        <w:rPr>
          <w:rFonts w:eastAsia="Times New Roman" w:cs="Times New Roman"/>
          <w:color w:val="212121"/>
          <w:sz w:val="22"/>
          <w:szCs w:val="22"/>
        </w:rPr>
        <w:t>).</w:t>
      </w:r>
    </w:p>
    <w:p w14:paraId="7667E96C" w14:textId="77777777" w:rsidR="00BC4077" w:rsidRPr="00BC4077" w:rsidRDefault="00BC4077" w:rsidP="00BC4077">
      <w:pPr>
        <w:shd w:val="clear" w:color="auto" w:fill="FFFFFF"/>
        <w:spacing w:after="100" w:afterAutospacing="1" w:line="240" w:lineRule="auto"/>
        <w:ind w:left="57" w:right="57"/>
        <w:rPr>
          <w:rFonts w:eastAsia="Times New Roman" w:cs="Times New Roman"/>
          <w:color w:val="212121"/>
          <w:sz w:val="22"/>
          <w:szCs w:val="22"/>
        </w:rPr>
      </w:pPr>
      <w:r w:rsidRPr="00BC4077">
        <w:rPr>
          <w:rFonts w:eastAsia="Times New Roman" w:cs="Times New Roman"/>
          <w:color w:val="212121"/>
          <w:sz w:val="22"/>
          <w:szCs w:val="22"/>
        </w:rPr>
        <w:t>`</w:t>
      </w:r>
      <w:r w:rsidRPr="00BC4077">
        <w:rPr>
          <w:rFonts w:eastAsia="Times New Roman" w:cs="Times New Roman"/>
          <w:color w:val="212121"/>
          <w:sz w:val="22"/>
          <w:szCs w:val="22"/>
        </w:rPr>
        <w:tab/>
        <w:t>Selection of low insertion copy number DNA transformants is preferred for the subsequent safety assessment process as it facilitates risk and hazard characterization (</w:t>
      </w:r>
      <w:hyperlink r:id="rId45" w:anchor="B180" w:history="1">
        <w:r w:rsidRPr="00BC4077">
          <w:rPr>
            <w:rStyle w:val="a3"/>
            <w:rFonts w:eastAsia="Times New Roman" w:cs="Times New Roman"/>
            <w:color w:val="376FAA"/>
            <w:sz w:val="22"/>
            <w:szCs w:val="22"/>
          </w:rPr>
          <w:t>Tiwari and Singh, 2018</w:t>
        </w:r>
      </w:hyperlink>
      <w:r w:rsidRPr="00BC4077">
        <w:rPr>
          <w:rFonts w:eastAsia="Times New Roman" w:cs="Times New Roman"/>
          <w:color w:val="212121"/>
          <w:sz w:val="22"/>
          <w:szCs w:val="22"/>
        </w:rPr>
        <w:t>). The methods most commonly used to determinate the number of transgenes integrated have been Southern blot analysis and polymerase chain reaction (PCR), in its various formats such as real-time PCR (qPCR) (</w:t>
      </w:r>
      <w:hyperlink r:id="rId46" w:anchor="B117" w:history="1">
        <w:r w:rsidRPr="00BC4077">
          <w:rPr>
            <w:rStyle w:val="a3"/>
            <w:rFonts w:eastAsia="Times New Roman" w:cs="Times New Roman"/>
            <w:color w:val="376FAA"/>
            <w:sz w:val="22"/>
            <w:szCs w:val="22"/>
          </w:rPr>
          <w:t>Li et al., 2017</w:t>
        </w:r>
      </w:hyperlink>
      <w:r w:rsidRPr="00BC4077">
        <w:rPr>
          <w:rFonts w:eastAsia="Times New Roman" w:cs="Times New Roman"/>
          <w:color w:val="212121"/>
          <w:sz w:val="22"/>
          <w:szCs w:val="22"/>
        </w:rPr>
        <w:t>).</w:t>
      </w:r>
    </w:p>
    <w:p w14:paraId="65366230" w14:textId="0B72D4E4" w:rsidR="00BC4077" w:rsidRPr="00BC4077" w:rsidRDefault="00BC4077" w:rsidP="00BC4077">
      <w:pPr>
        <w:shd w:val="clear" w:color="auto" w:fill="FFFFFF"/>
        <w:spacing w:after="100" w:afterAutospacing="1" w:line="450" w:lineRule="atLeast"/>
        <w:ind w:left="57" w:right="57"/>
        <w:outlineLvl w:val="2"/>
        <w:rPr>
          <w:rFonts w:cs="Times New Roman"/>
          <w:color w:val="111111"/>
          <w:sz w:val="22"/>
          <w:szCs w:val="22"/>
        </w:rPr>
      </w:pPr>
      <w:r w:rsidRPr="00BC4077">
        <w:rPr>
          <w:rFonts w:eastAsia="Times New Roman" w:cs="Times New Roman"/>
          <w:i/>
          <w:color w:val="212121"/>
          <w:sz w:val="22"/>
          <w:szCs w:val="22"/>
        </w:rPr>
        <w:t>The Southern blot analysis</w:t>
      </w:r>
      <w:r w:rsidRPr="00BC4077">
        <w:rPr>
          <w:rFonts w:eastAsia="Times New Roman" w:cs="Times New Roman"/>
          <w:color w:val="212121"/>
          <w:sz w:val="22"/>
          <w:szCs w:val="22"/>
        </w:rPr>
        <w:t xml:space="preserve"> involves a careful selection and broad screening of restriction enzymes and designing of probes, which in some cases dependent on prior sequence information of the transgene insertion (</w:t>
      </w:r>
      <w:hyperlink r:id="rId47" w:anchor="B187" w:history="1">
        <w:r w:rsidRPr="00BC4077">
          <w:rPr>
            <w:rStyle w:val="a3"/>
            <w:rFonts w:eastAsia="Times New Roman" w:cs="Times New Roman"/>
            <w:color w:val="376FAA"/>
            <w:sz w:val="22"/>
            <w:szCs w:val="22"/>
          </w:rPr>
          <w:t>Urquiza and Silva, 2014</w:t>
        </w:r>
      </w:hyperlink>
      <w:r w:rsidRPr="00BC4077">
        <w:rPr>
          <w:rFonts w:eastAsia="Times New Roman" w:cs="Times New Roman"/>
          <w:color w:val="212121"/>
          <w:sz w:val="22"/>
          <w:szCs w:val="22"/>
        </w:rPr>
        <w:t xml:space="preserve">). However, the approach is relatively time-consuming and laborious, </w:t>
      </w:r>
      <w:proofErr w:type="gramStart"/>
      <w:r w:rsidRPr="00BC4077">
        <w:rPr>
          <w:rFonts w:eastAsia="Times New Roman" w:cs="Times New Roman"/>
          <w:color w:val="212121"/>
          <w:sz w:val="22"/>
          <w:szCs w:val="22"/>
        </w:rPr>
        <w:t>and also</w:t>
      </w:r>
      <w:proofErr w:type="gramEnd"/>
      <w:r w:rsidRPr="00BC4077">
        <w:rPr>
          <w:rFonts w:eastAsia="Times New Roman" w:cs="Times New Roman"/>
          <w:color w:val="212121"/>
          <w:sz w:val="22"/>
          <w:szCs w:val="22"/>
        </w:rPr>
        <w:t xml:space="preserve"> includes a manual interpretation process. In addition, the result may not accurately reflect the copy number of a transgene, if sequence rearrangements have occurred, which have affected the position(s) of the restriction enzyme recognition site(s) in the inserted transgene(s) (</w:t>
      </w:r>
      <w:hyperlink r:id="rId48" w:anchor="B204" w:history="1">
        <w:r w:rsidRPr="00BC4077">
          <w:rPr>
            <w:rStyle w:val="a3"/>
            <w:rFonts w:eastAsia="Times New Roman" w:cs="Times New Roman"/>
            <w:color w:val="376FAA"/>
            <w:sz w:val="22"/>
            <w:szCs w:val="22"/>
          </w:rPr>
          <w:t>Yang et al., 2005</w:t>
        </w:r>
      </w:hyperlink>
      <w:r w:rsidRPr="00BC4077">
        <w:rPr>
          <w:rFonts w:eastAsia="Times New Roman" w:cs="Times New Roman"/>
          <w:color w:val="212121"/>
          <w:sz w:val="22"/>
          <w:szCs w:val="22"/>
        </w:rPr>
        <w:t>).</w:t>
      </w:r>
    </w:p>
    <w:p w14:paraId="43C13DBF" w14:textId="6760A3D1" w:rsidR="00BC4077" w:rsidRDefault="00BC4077" w:rsidP="00F952F7">
      <w:pPr>
        <w:shd w:val="clear" w:color="auto" w:fill="FFFFFF"/>
        <w:spacing w:after="100" w:afterAutospacing="1" w:line="450" w:lineRule="atLeast"/>
        <w:ind w:left="57" w:right="57"/>
        <w:outlineLvl w:val="2"/>
        <w:rPr>
          <w:color w:val="111111"/>
          <w:sz w:val="22"/>
          <w:szCs w:val="22"/>
        </w:rPr>
      </w:pPr>
      <w:r>
        <w:rPr>
          <w:b/>
          <w:bCs/>
          <w:sz w:val="22"/>
          <w:szCs w:val="22"/>
        </w:rPr>
        <w:t>Lab 11.</w:t>
      </w:r>
      <w:r>
        <w:rPr>
          <w:bCs/>
          <w:sz w:val="22"/>
          <w:szCs w:val="22"/>
        </w:rPr>
        <w:t xml:space="preserve">  Theme</w:t>
      </w:r>
      <w:r>
        <w:rPr>
          <w:bCs/>
          <w:sz w:val="22"/>
          <w:szCs w:val="22"/>
        </w:rPr>
        <w:t xml:space="preserve">: </w:t>
      </w:r>
      <w:r w:rsidRPr="00BC4077">
        <w:rPr>
          <w:rFonts w:eastAsia="Times New Roman" w:cs="Times New Roman"/>
          <w:color w:val="212121"/>
          <w:sz w:val="22"/>
          <w:szCs w:val="22"/>
        </w:rPr>
        <w:t xml:space="preserve">A qPCR-based assay </w:t>
      </w:r>
      <w:r>
        <w:rPr>
          <w:rFonts w:eastAsia="Times New Roman" w:cs="Times New Roman"/>
          <w:color w:val="212121"/>
          <w:sz w:val="22"/>
          <w:szCs w:val="22"/>
        </w:rPr>
        <w:t xml:space="preserve">to </w:t>
      </w:r>
      <w:r w:rsidRPr="00BC4077">
        <w:rPr>
          <w:rFonts w:eastAsia="Times New Roman" w:cs="Times New Roman"/>
          <w:color w:val="212121"/>
          <w:sz w:val="22"/>
          <w:szCs w:val="22"/>
        </w:rPr>
        <w:t xml:space="preserve"> quantify the copy number of transgenes</w:t>
      </w:r>
      <w:r>
        <w:rPr>
          <w:rFonts w:eastAsia="Times New Roman" w:cs="Times New Roman"/>
          <w:color w:val="212121"/>
          <w:sz w:val="22"/>
          <w:szCs w:val="22"/>
        </w:rPr>
        <w:t xml:space="preserve">. </w:t>
      </w:r>
      <w:r>
        <w:rPr>
          <w:bCs/>
          <w:sz w:val="22"/>
          <w:szCs w:val="22"/>
        </w:rPr>
        <w:t xml:space="preserve"> Methods of determination of </w:t>
      </w:r>
      <w:r>
        <w:rPr>
          <w:color w:val="111111"/>
          <w:sz w:val="22"/>
          <w:szCs w:val="22"/>
        </w:rPr>
        <w:t>vitamins A, C, E, plant pigments, indispensable unsaturated fatty acids (IUFA).</w:t>
      </w:r>
    </w:p>
    <w:p w14:paraId="7B8CC5D7" w14:textId="77777777" w:rsidR="00BC4077" w:rsidRPr="00BC4077" w:rsidRDefault="00BC4077" w:rsidP="00BC4077">
      <w:pPr>
        <w:shd w:val="clear" w:color="auto" w:fill="FFFFFF"/>
        <w:spacing w:after="100" w:afterAutospacing="1" w:line="240" w:lineRule="auto"/>
        <w:ind w:left="57" w:right="57"/>
        <w:rPr>
          <w:rFonts w:eastAsia="Times New Roman" w:cs="Times New Roman"/>
          <w:color w:val="212121"/>
          <w:sz w:val="22"/>
          <w:szCs w:val="22"/>
        </w:rPr>
      </w:pPr>
      <w:r w:rsidRPr="00BC4077">
        <w:rPr>
          <w:rFonts w:eastAsia="Times New Roman" w:cs="Times New Roman"/>
          <w:color w:val="212121"/>
          <w:sz w:val="22"/>
          <w:szCs w:val="22"/>
        </w:rPr>
        <w:t>A qPCR-based assay can more accurately quantify the copy number of transgenes by comparing to an endogenous reference sequence (endogene), which has provided a simplified alternative to Southern blot analysis (</w:t>
      </w:r>
      <w:hyperlink r:id="rId49" w:anchor="B117" w:history="1">
        <w:r w:rsidRPr="00BC4077">
          <w:rPr>
            <w:rStyle w:val="a3"/>
            <w:rFonts w:eastAsia="Times New Roman" w:cs="Times New Roman"/>
            <w:color w:val="376FAA"/>
            <w:sz w:val="22"/>
            <w:szCs w:val="22"/>
          </w:rPr>
          <w:t>Li et al., 2017</w:t>
        </w:r>
      </w:hyperlink>
      <w:r w:rsidRPr="00BC4077">
        <w:rPr>
          <w:rFonts w:eastAsia="Times New Roman" w:cs="Times New Roman"/>
          <w:color w:val="212121"/>
          <w:sz w:val="22"/>
          <w:szCs w:val="22"/>
        </w:rPr>
        <w:t>). However, identification of a single copy reference gene is occasionally difficult in crop species, due to ancestral whole genome duplications or due to polyploidy, causing complex structures and genetic redundancy (</w:t>
      </w:r>
      <w:hyperlink r:id="rId50" w:anchor="B154" w:history="1">
        <w:r w:rsidRPr="00BC4077">
          <w:rPr>
            <w:rStyle w:val="a3"/>
            <w:rFonts w:eastAsia="Times New Roman" w:cs="Times New Roman"/>
            <w:color w:val="376FAA"/>
            <w:sz w:val="22"/>
            <w:szCs w:val="22"/>
          </w:rPr>
          <w:t>Ren et al., 2018</w:t>
        </w:r>
      </w:hyperlink>
      <w:r w:rsidRPr="00BC4077">
        <w:rPr>
          <w:rFonts w:eastAsia="Times New Roman" w:cs="Times New Roman"/>
          <w:color w:val="212121"/>
          <w:sz w:val="22"/>
          <w:szCs w:val="22"/>
        </w:rPr>
        <w:t>). To overcome the identification of a reference gene and dependency on DNA calibrations, droplet digital PCR (ddPCR), a method that identifies the absolute DNA copy number in a sample, has been proposed for determination of GM copy number (</w:t>
      </w:r>
      <w:hyperlink r:id="rId51" w:anchor="B70" w:history="1">
        <w:r w:rsidRPr="00BC4077">
          <w:rPr>
            <w:rStyle w:val="a3"/>
            <w:rFonts w:eastAsia="Times New Roman" w:cs="Times New Roman"/>
            <w:color w:val="376FAA"/>
            <w:sz w:val="22"/>
            <w:szCs w:val="22"/>
          </w:rPr>
          <w:t>Głowacka et al., 2016</w:t>
        </w:r>
      </w:hyperlink>
      <w:r w:rsidRPr="00BC4077">
        <w:rPr>
          <w:rFonts w:eastAsia="Times New Roman" w:cs="Times New Roman"/>
          <w:color w:val="212121"/>
          <w:sz w:val="22"/>
          <w:szCs w:val="22"/>
        </w:rPr>
        <w:t>; </w:t>
      </w:r>
      <w:hyperlink r:id="rId52" w:anchor="B35" w:history="1">
        <w:r w:rsidRPr="00BC4077">
          <w:rPr>
            <w:rStyle w:val="a3"/>
            <w:rFonts w:eastAsia="Times New Roman" w:cs="Times New Roman"/>
            <w:color w:val="376FAA"/>
            <w:sz w:val="22"/>
            <w:szCs w:val="22"/>
          </w:rPr>
          <w:t>Dalmira et al., 2016</w:t>
        </w:r>
      </w:hyperlink>
      <w:r w:rsidRPr="00BC4077">
        <w:rPr>
          <w:rFonts w:eastAsia="Times New Roman" w:cs="Times New Roman"/>
          <w:color w:val="212121"/>
          <w:sz w:val="22"/>
          <w:szCs w:val="22"/>
        </w:rPr>
        <w:t>).</w:t>
      </w:r>
    </w:p>
    <w:p w14:paraId="628EBD05" w14:textId="77777777" w:rsidR="00BC4077" w:rsidRPr="00BC4077" w:rsidRDefault="00BC4077" w:rsidP="00BC4077">
      <w:pPr>
        <w:shd w:val="clear" w:color="auto" w:fill="FFFFFF"/>
        <w:spacing w:after="100" w:afterAutospacing="1" w:line="240" w:lineRule="auto"/>
        <w:ind w:left="57" w:right="57"/>
        <w:rPr>
          <w:rFonts w:eastAsia="Times New Roman" w:cs="Times New Roman"/>
          <w:color w:val="212121"/>
          <w:sz w:val="22"/>
          <w:szCs w:val="22"/>
        </w:rPr>
      </w:pPr>
      <w:r w:rsidRPr="00BC4077">
        <w:rPr>
          <w:rFonts w:eastAsia="Times New Roman" w:cs="Times New Roman"/>
          <w:color w:val="212121"/>
          <w:sz w:val="22"/>
          <w:szCs w:val="22"/>
        </w:rPr>
        <w:t>Following identification of low-copy number transformants, the precise location(s) of the transgene(s) in the crop genome is required to be identified (</w:t>
      </w:r>
      <w:hyperlink r:id="rId53" w:anchor="B144" w:history="1">
        <w:r w:rsidRPr="00BC4077">
          <w:rPr>
            <w:rStyle w:val="a3"/>
            <w:rFonts w:eastAsia="Times New Roman" w:cs="Times New Roman"/>
            <w:color w:val="376FAA"/>
            <w:sz w:val="22"/>
            <w:szCs w:val="22"/>
          </w:rPr>
          <w:t>Park et al., 2017</w:t>
        </w:r>
      </w:hyperlink>
      <w:r w:rsidRPr="00BC4077">
        <w:rPr>
          <w:rFonts w:eastAsia="Times New Roman" w:cs="Times New Roman"/>
          <w:color w:val="212121"/>
          <w:sz w:val="22"/>
          <w:szCs w:val="22"/>
        </w:rPr>
        <w:t>). DNA sequencing approaches have been used for this purpose, and this process may also identify backbone sequence(s), which were not intended to be introduced from the transformation vector into the host genome (</w:t>
      </w:r>
      <w:hyperlink r:id="rId54" w:anchor="B108" w:history="1">
        <w:r w:rsidRPr="00BC4077">
          <w:rPr>
            <w:rStyle w:val="a3"/>
            <w:rFonts w:eastAsia="Times New Roman" w:cs="Times New Roman"/>
            <w:color w:val="376FAA"/>
            <w:sz w:val="22"/>
            <w:szCs w:val="22"/>
          </w:rPr>
          <w:t>Kononov et al., 1997</w:t>
        </w:r>
      </w:hyperlink>
      <w:r w:rsidRPr="00BC4077">
        <w:rPr>
          <w:rFonts w:eastAsia="Times New Roman" w:cs="Times New Roman"/>
          <w:color w:val="212121"/>
          <w:sz w:val="22"/>
          <w:szCs w:val="22"/>
        </w:rPr>
        <w:t>). The method traditionally used for this purpose was based on Sanger sequencing (</w:t>
      </w:r>
      <w:hyperlink r:id="rId55" w:anchor="B84" w:history="1">
        <w:r w:rsidRPr="00BC4077">
          <w:rPr>
            <w:rStyle w:val="a3"/>
            <w:rFonts w:eastAsia="Times New Roman" w:cs="Times New Roman"/>
            <w:color w:val="376FAA"/>
            <w:sz w:val="22"/>
            <w:szCs w:val="22"/>
          </w:rPr>
          <w:t>Guttikonda et al., 2016</w:t>
        </w:r>
      </w:hyperlink>
      <w:r w:rsidRPr="00BC4077">
        <w:rPr>
          <w:rFonts w:eastAsia="Times New Roman" w:cs="Times New Roman"/>
          <w:color w:val="212121"/>
          <w:sz w:val="22"/>
          <w:szCs w:val="22"/>
        </w:rPr>
        <w:t xml:space="preserve">). However, the second-generation sequencing (SGS) technologies have been proposed as a new tool for molecular </w:t>
      </w:r>
      <w:r w:rsidRPr="00BC4077">
        <w:rPr>
          <w:rFonts w:eastAsia="Times New Roman" w:cs="Times New Roman"/>
          <w:color w:val="212121"/>
          <w:sz w:val="22"/>
          <w:szCs w:val="22"/>
        </w:rPr>
        <w:lastRenderedPageBreak/>
        <w:t>characterization of GM crops, due to a larger sequencing capacity and potentially higher accuracy of the resulting assembled sequence (</w:t>
      </w:r>
      <w:hyperlink r:id="rId56" w:anchor="B109" w:history="1">
        <w:r w:rsidRPr="00BC4077">
          <w:rPr>
            <w:rStyle w:val="a3"/>
            <w:rFonts w:eastAsia="Times New Roman" w:cs="Times New Roman"/>
            <w:color w:val="376FAA"/>
            <w:sz w:val="22"/>
            <w:szCs w:val="22"/>
          </w:rPr>
          <w:t>Kovalic et al., 2012</w:t>
        </w:r>
      </w:hyperlink>
      <w:r w:rsidRPr="00BC4077">
        <w:rPr>
          <w:rFonts w:eastAsia="Times New Roman" w:cs="Times New Roman"/>
          <w:color w:val="212121"/>
          <w:sz w:val="22"/>
          <w:szCs w:val="22"/>
        </w:rPr>
        <w:t>; </w:t>
      </w:r>
      <w:hyperlink r:id="rId57" w:anchor="B205" w:history="1">
        <w:r w:rsidRPr="00BC4077">
          <w:rPr>
            <w:rStyle w:val="a3"/>
            <w:rFonts w:eastAsia="Times New Roman" w:cs="Times New Roman"/>
            <w:color w:val="376FAA"/>
            <w:sz w:val="22"/>
            <w:szCs w:val="22"/>
          </w:rPr>
          <w:t>Yang et al., 2013</w:t>
        </w:r>
      </w:hyperlink>
      <w:r w:rsidRPr="00BC4077">
        <w:rPr>
          <w:rFonts w:eastAsia="Times New Roman" w:cs="Times New Roman"/>
          <w:color w:val="212121"/>
          <w:sz w:val="22"/>
          <w:szCs w:val="22"/>
        </w:rPr>
        <w:t>; </w:t>
      </w:r>
      <w:hyperlink r:id="rId58" w:anchor="B145" w:history="1">
        <w:r w:rsidRPr="00BC4077">
          <w:rPr>
            <w:rStyle w:val="a3"/>
            <w:rFonts w:eastAsia="Times New Roman" w:cs="Times New Roman"/>
            <w:color w:val="376FAA"/>
            <w:sz w:val="22"/>
            <w:szCs w:val="22"/>
          </w:rPr>
          <w:t>Pauwels et al., 2015</w:t>
        </w:r>
      </w:hyperlink>
      <w:r w:rsidRPr="00BC4077">
        <w:rPr>
          <w:rFonts w:eastAsia="Times New Roman" w:cs="Times New Roman"/>
          <w:color w:val="212121"/>
          <w:sz w:val="22"/>
          <w:szCs w:val="22"/>
        </w:rPr>
        <w:t>; </w:t>
      </w:r>
      <w:hyperlink r:id="rId59" w:anchor="B5" w:history="1">
        <w:r w:rsidRPr="00BC4077">
          <w:rPr>
            <w:rStyle w:val="a3"/>
            <w:rFonts w:eastAsia="Times New Roman" w:cs="Times New Roman"/>
            <w:color w:val="376FAA"/>
            <w:sz w:val="22"/>
            <w:szCs w:val="22"/>
          </w:rPr>
          <w:t>Arulandhu et al., 2016</w:t>
        </w:r>
      </w:hyperlink>
      <w:r w:rsidRPr="00BC4077">
        <w:rPr>
          <w:rFonts w:eastAsia="Times New Roman" w:cs="Times New Roman"/>
          <w:color w:val="212121"/>
          <w:sz w:val="22"/>
          <w:szCs w:val="22"/>
        </w:rPr>
        <w:t>).</w:t>
      </w:r>
    </w:p>
    <w:p w14:paraId="18F642A8" w14:textId="77777777" w:rsidR="00BC4077" w:rsidRPr="00BC4077" w:rsidRDefault="00BC4077" w:rsidP="00BC4077">
      <w:pPr>
        <w:shd w:val="clear" w:color="auto" w:fill="FFFFFF"/>
        <w:spacing w:after="100" w:afterAutospacing="1" w:line="240" w:lineRule="auto"/>
        <w:ind w:left="57" w:right="57"/>
        <w:rPr>
          <w:rFonts w:eastAsia="Times New Roman" w:cs="Times New Roman"/>
          <w:color w:val="212121"/>
          <w:sz w:val="22"/>
          <w:szCs w:val="22"/>
        </w:rPr>
      </w:pPr>
      <w:r w:rsidRPr="00BC4077">
        <w:rPr>
          <w:rFonts w:eastAsia="Times New Roman" w:cs="Times New Roman"/>
          <w:color w:val="212121"/>
          <w:sz w:val="22"/>
          <w:szCs w:val="22"/>
        </w:rPr>
        <w:t>The SGS approaches can increase speed, scalability, and automation in the selection of potential valuable events on the basis of their molecular profile, facilitating post-transformation screening (</w:t>
      </w:r>
      <w:hyperlink r:id="rId60" w:anchor="B109" w:history="1">
        <w:r w:rsidRPr="00BC4077">
          <w:rPr>
            <w:rStyle w:val="a3"/>
            <w:rFonts w:eastAsia="Times New Roman" w:cs="Times New Roman"/>
            <w:color w:val="376FAA"/>
            <w:sz w:val="22"/>
            <w:szCs w:val="22"/>
          </w:rPr>
          <w:t>Kovalic et al., 2012</w:t>
        </w:r>
      </w:hyperlink>
      <w:r w:rsidRPr="00BC4077">
        <w:rPr>
          <w:rFonts w:eastAsia="Times New Roman" w:cs="Times New Roman"/>
          <w:color w:val="212121"/>
          <w:sz w:val="22"/>
          <w:szCs w:val="22"/>
        </w:rPr>
        <w:t>; </w:t>
      </w:r>
      <w:hyperlink r:id="rId61" w:anchor="B145" w:history="1">
        <w:r w:rsidRPr="00BC4077">
          <w:rPr>
            <w:rStyle w:val="a3"/>
            <w:rFonts w:eastAsia="Times New Roman" w:cs="Times New Roman"/>
            <w:color w:val="376FAA"/>
            <w:sz w:val="22"/>
            <w:szCs w:val="22"/>
          </w:rPr>
          <w:t>Pauwels et al., 2015</w:t>
        </w:r>
      </w:hyperlink>
      <w:r w:rsidRPr="00BC4077">
        <w:rPr>
          <w:rFonts w:eastAsia="Times New Roman" w:cs="Times New Roman"/>
          <w:color w:val="212121"/>
          <w:sz w:val="22"/>
          <w:szCs w:val="22"/>
        </w:rPr>
        <w:t>; </w:t>
      </w:r>
      <w:hyperlink r:id="rId62" w:anchor="B84" w:history="1">
        <w:r w:rsidRPr="00BC4077">
          <w:rPr>
            <w:rStyle w:val="a3"/>
            <w:rFonts w:eastAsia="Times New Roman" w:cs="Times New Roman"/>
            <w:color w:val="376FAA"/>
            <w:sz w:val="22"/>
            <w:szCs w:val="22"/>
          </w:rPr>
          <w:t>Guttikonda et al., 2016</w:t>
        </w:r>
      </w:hyperlink>
      <w:r w:rsidRPr="00BC4077">
        <w:rPr>
          <w:rFonts w:eastAsia="Times New Roman" w:cs="Times New Roman"/>
          <w:color w:val="212121"/>
          <w:sz w:val="22"/>
          <w:szCs w:val="22"/>
        </w:rPr>
        <w:t>). However, these technologies do not directly provide information about the position of the insertion(s) in native DNA, due to short read lengths (50–400 base pairs) (</w:t>
      </w:r>
      <w:hyperlink r:id="rId63" w:anchor="B81" w:history="1">
        <w:r w:rsidRPr="00BC4077">
          <w:rPr>
            <w:rStyle w:val="a3"/>
            <w:rFonts w:eastAsia="Times New Roman" w:cs="Times New Roman"/>
            <w:color w:val="376FAA"/>
            <w:sz w:val="22"/>
            <w:szCs w:val="22"/>
          </w:rPr>
          <w:t>Goodwin et al., 2016</w:t>
        </w:r>
      </w:hyperlink>
      <w:r w:rsidRPr="00BC4077">
        <w:rPr>
          <w:rFonts w:eastAsia="Times New Roman" w:cs="Times New Roman"/>
          <w:color w:val="212121"/>
          <w:sz w:val="22"/>
          <w:szCs w:val="22"/>
        </w:rPr>
        <w:t>), while transgenic constructs are typically thousands of base pairs. A computational process for alignment and/or assembly of the short sequencing reads is essential for the molecular characterization purposes, and repetitive elements commonly found in plant genomes can generate problems for the alignment/assembly procedure (</w:t>
      </w:r>
      <w:hyperlink r:id="rId64" w:anchor="B118" w:history="1">
        <w:r w:rsidRPr="00BC4077">
          <w:rPr>
            <w:rStyle w:val="a3"/>
            <w:rFonts w:eastAsia="Times New Roman" w:cs="Times New Roman"/>
            <w:color w:val="376FAA"/>
            <w:sz w:val="22"/>
            <w:szCs w:val="22"/>
          </w:rPr>
          <w:t>Liang et al., 2014</w:t>
        </w:r>
      </w:hyperlink>
      <w:r w:rsidRPr="00BC4077">
        <w:rPr>
          <w:rFonts w:eastAsia="Times New Roman" w:cs="Times New Roman"/>
          <w:color w:val="212121"/>
          <w:sz w:val="22"/>
          <w:szCs w:val="22"/>
        </w:rPr>
        <w:t>).</w:t>
      </w:r>
    </w:p>
    <w:p w14:paraId="3A67F8B4" w14:textId="77777777" w:rsidR="00BC4077" w:rsidRPr="00BC4077" w:rsidRDefault="00BC4077" w:rsidP="00BC4077">
      <w:pPr>
        <w:shd w:val="clear" w:color="auto" w:fill="FFFFFF"/>
        <w:spacing w:after="100" w:afterAutospacing="1" w:line="240" w:lineRule="auto"/>
        <w:ind w:left="57" w:right="57"/>
        <w:rPr>
          <w:rFonts w:eastAsia="Times New Roman" w:cs="Times New Roman"/>
          <w:color w:val="212121"/>
          <w:sz w:val="22"/>
          <w:szCs w:val="22"/>
        </w:rPr>
      </w:pPr>
      <w:r w:rsidRPr="00BC4077">
        <w:rPr>
          <w:rFonts w:eastAsia="Times New Roman" w:cs="Times New Roman"/>
          <w:color w:val="212121"/>
          <w:sz w:val="22"/>
          <w:szCs w:val="22"/>
        </w:rPr>
        <w:t>Recently, single-molecule sequencing, also termed third-generation sequencing (TGS) platforms, have been commercialized allowing a large increase in read length up to tens of thousands of bases per read (</w:t>
      </w:r>
      <w:hyperlink r:id="rId65" w:anchor="B121" w:history="1">
        <w:r w:rsidRPr="00BC4077">
          <w:rPr>
            <w:rStyle w:val="a3"/>
            <w:rFonts w:eastAsia="Times New Roman" w:cs="Times New Roman"/>
            <w:color w:val="376FAA"/>
            <w:sz w:val="22"/>
            <w:szCs w:val="22"/>
          </w:rPr>
          <w:t>Loose et al., 2016</w:t>
        </w:r>
      </w:hyperlink>
      <w:r w:rsidRPr="00BC4077">
        <w:rPr>
          <w:rFonts w:eastAsia="Times New Roman" w:cs="Times New Roman"/>
          <w:color w:val="212121"/>
          <w:sz w:val="22"/>
          <w:szCs w:val="22"/>
        </w:rPr>
        <w:t>). Read length is limited by the input DNA fragment size, but over 300 kb have been reported (</w:t>
      </w:r>
      <w:hyperlink r:id="rId66" w:anchor="B102" w:history="1">
        <w:r w:rsidRPr="00BC4077">
          <w:rPr>
            <w:rStyle w:val="a3"/>
            <w:rFonts w:eastAsia="Times New Roman" w:cs="Times New Roman"/>
            <w:color w:val="376FAA"/>
            <w:sz w:val="22"/>
            <w:szCs w:val="22"/>
          </w:rPr>
          <w:t>Jain et al., 2016</w:t>
        </w:r>
      </w:hyperlink>
      <w:r w:rsidRPr="00BC4077">
        <w:rPr>
          <w:rFonts w:eastAsia="Times New Roman" w:cs="Times New Roman"/>
          <w:color w:val="212121"/>
          <w:sz w:val="22"/>
          <w:szCs w:val="22"/>
        </w:rPr>
        <w:t>). The increment in read lengths up to tens of thousands can facilitate a more reliable GM characterization process, by extending the sequence reads of the flanking regions present in the captured fragments and potentially solving alignment problems.</w:t>
      </w:r>
    </w:p>
    <w:p w14:paraId="41BCEAC8" w14:textId="77777777" w:rsidR="00BC4077" w:rsidRPr="00BC4077" w:rsidRDefault="00BC4077" w:rsidP="00BC4077">
      <w:pPr>
        <w:shd w:val="clear" w:color="auto" w:fill="FFFFFF"/>
        <w:spacing w:after="100" w:afterAutospacing="1" w:line="240" w:lineRule="auto"/>
        <w:ind w:left="57" w:right="57"/>
        <w:rPr>
          <w:rFonts w:eastAsia="Times New Roman" w:cs="Times New Roman"/>
          <w:color w:val="212121"/>
          <w:sz w:val="22"/>
          <w:szCs w:val="22"/>
        </w:rPr>
      </w:pPr>
      <w:r w:rsidRPr="00BC4077">
        <w:rPr>
          <w:rFonts w:eastAsia="Times New Roman" w:cs="Times New Roman"/>
          <w:color w:val="212121"/>
          <w:sz w:val="22"/>
          <w:szCs w:val="22"/>
        </w:rPr>
        <w:t>The most common TGS platforms are products from Pacific Biosciences (PacBio, Menlo Park, CA, US) and Oxford Nanopore Technologies (ONT Oxford Science Park, Oxford). PacBio uses a sequencing-by-synthesis method to capture a single DNA molecule and a circular consensus sequence (CCS) to increase accuracy. The CCS uses a circular DNA template by ligating hairpin adaptors to both ends of target double-stranded DNA, so the DNA template is sequenced multiple times to generate a continuous long read (</w:t>
      </w:r>
      <w:hyperlink r:id="rId67" w:anchor="B197" w:history="1">
        <w:r w:rsidRPr="00BC4077">
          <w:rPr>
            <w:rStyle w:val="a3"/>
            <w:rFonts w:eastAsia="Times New Roman" w:cs="Times New Roman"/>
            <w:color w:val="376FAA"/>
            <w:sz w:val="22"/>
            <w:szCs w:val="22"/>
          </w:rPr>
          <w:t>Weirather et al., 2017</w:t>
        </w:r>
      </w:hyperlink>
      <w:r w:rsidRPr="00BC4077">
        <w:rPr>
          <w:rFonts w:eastAsia="Times New Roman" w:cs="Times New Roman"/>
          <w:color w:val="212121"/>
          <w:sz w:val="22"/>
          <w:szCs w:val="22"/>
        </w:rPr>
        <w:t>). Nanopore sequencing, uses nanopores to sequence native single-stranded DNA, by measuring the changes in an electric current passed across the pore as the DNA bases pass through, disrupting the current to different levels with different nucleotides (</w:t>
      </w:r>
      <w:hyperlink r:id="rId68" w:anchor="B76" w:history="1">
        <w:r w:rsidRPr="00BC4077">
          <w:rPr>
            <w:rStyle w:val="a3"/>
            <w:rFonts w:eastAsia="Times New Roman" w:cs="Times New Roman"/>
            <w:color w:val="376FAA"/>
            <w:sz w:val="22"/>
            <w:szCs w:val="22"/>
          </w:rPr>
          <w:t>Giordano et al., 2017</w:t>
        </w:r>
      </w:hyperlink>
      <w:r w:rsidRPr="00BC4077">
        <w:rPr>
          <w:rFonts w:eastAsia="Times New Roman" w:cs="Times New Roman"/>
          <w:color w:val="212121"/>
          <w:sz w:val="22"/>
          <w:szCs w:val="22"/>
        </w:rPr>
        <w:t>).</w:t>
      </w:r>
    </w:p>
    <w:p w14:paraId="0D62CDF6" w14:textId="710BD71A" w:rsidR="00BC4077" w:rsidRDefault="00BC4077" w:rsidP="00BC4077">
      <w:pPr>
        <w:snapToGrid w:val="0"/>
        <w:spacing w:line="256" w:lineRule="auto"/>
        <w:rPr>
          <w:color w:val="333333"/>
          <w:sz w:val="22"/>
          <w:szCs w:val="22"/>
          <w:shd w:val="clear" w:color="auto" w:fill="FFFFFF"/>
        </w:rPr>
      </w:pPr>
      <w:r>
        <w:rPr>
          <w:b/>
          <w:bCs/>
          <w:sz w:val="22"/>
          <w:szCs w:val="22"/>
        </w:rPr>
        <w:t>Lab 12.</w:t>
      </w:r>
      <w:r>
        <w:rPr>
          <w:bCs/>
          <w:sz w:val="22"/>
          <w:szCs w:val="22"/>
        </w:rPr>
        <w:t xml:space="preserve">  Theme </w:t>
      </w:r>
      <w:r>
        <w:rPr>
          <w:color w:val="333333"/>
          <w:sz w:val="22"/>
          <w:szCs w:val="22"/>
          <w:shd w:val="clear" w:color="auto" w:fill="FFFFFF"/>
        </w:rPr>
        <w:t>Food additives in organic products</w:t>
      </w:r>
      <w:r w:rsidR="004342DF">
        <w:rPr>
          <w:color w:val="333333"/>
          <w:sz w:val="22"/>
          <w:szCs w:val="22"/>
          <w:shd w:val="clear" w:color="auto" w:fill="FFFFFF"/>
        </w:rPr>
        <w:t>.</w:t>
      </w:r>
    </w:p>
    <w:p w14:paraId="78BD724A" w14:textId="77777777" w:rsidR="004342DF" w:rsidRPr="004342DF" w:rsidRDefault="004342DF" w:rsidP="004342DF">
      <w:pPr>
        <w:shd w:val="clear" w:color="auto" w:fill="FFFFFF"/>
        <w:spacing w:line="240" w:lineRule="auto"/>
        <w:ind w:left="360"/>
        <w:rPr>
          <w:rFonts w:eastAsia="Times New Roman" w:cs="Times New Roman"/>
          <w:color w:val="202124"/>
          <w:sz w:val="22"/>
          <w:szCs w:val="22"/>
        </w:rPr>
      </w:pPr>
      <w:r w:rsidRPr="004342DF">
        <w:rPr>
          <w:rFonts w:eastAsia="Times New Roman" w:cs="Times New Roman"/>
          <w:b/>
          <w:bCs/>
          <w:color w:val="202124"/>
          <w:sz w:val="22"/>
          <w:szCs w:val="22"/>
        </w:rPr>
        <w:t>10 Common Food Additives Found in Natural or Organic Foods</w:t>
      </w:r>
    </w:p>
    <w:p w14:paraId="16D66DD5" w14:textId="77777777" w:rsidR="004342DF" w:rsidRPr="004342DF" w:rsidRDefault="004342DF" w:rsidP="004342DF">
      <w:pPr>
        <w:shd w:val="clear" w:color="auto" w:fill="FFFFFF"/>
        <w:spacing w:after="60" w:line="240" w:lineRule="auto"/>
        <w:ind w:left="360"/>
        <w:rPr>
          <w:rFonts w:eastAsia="Times New Roman" w:cs="Times New Roman"/>
          <w:color w:val="202124"/>
          <w:sz w:val="22"/>
          <w:szCs w:val="22"/>
        </w:rPr>
      </w:pPr>
      <w:r w:rsidRPr="004342DF">
        <w:rPr>
          <w:rFonts w:eastAsia="Times New Roman" w:cs="Times New Roman"/>
          <w:color w:val="202124"/>
          <w:sz w:val="22"/>
          <w:szCs w:val="22"/>
        </w:rPr>
        <w:t>Carrageenan. ...</w:t>
      </w:r>
    </w:p>
    <w:p w14:paraId="3B403C0D" w14:textId="77777777" w:rsidR="004342DF" w:rsidRPr="004342DF" w:rsidRDefault="004342DF" w:rsidP="004342DF">
      <w:pPr>
        <w:shd w:val="clear" w:color="auto" w:fill="FFFFFF"/>
        <w:spacing w:after="60" w:line="240" w:lineRule="auto"/>
        <w:ind w:left="360"/>
        <w:rPr>
          <w:rFonts w:eastAsia="Times New Roman" w:cs="Times New Roman"/>
          <w:color w:val="202124"/>
          <w:sz w:val="22"/>
          <w:szCs w:val="22"/>
        </w:rPr>
      </w:pPr>
      <w:r w:rsidRPr="004342DF">
        <w:rPr>
          <w:rFonts w:eastAsia="Times New Roman" w:cs="Times New Roman"/>
          <w:color w:val="202124"/>
          <w:sz w:val="22"/>
          <w:szCs w:val="22"/>
        </w:rPr>
        <w:t>Xanthan gum. ...</w:t>
      </w:r>
    </w:p>
    <w:p w14:paraId="2A4C96FD" w14:textId="77777777" w:rsidR="004342DF" w:rsidRPr="004342DF" w:rsidRDefault="004342DF" w:rsidP="004342DF">
      <w:pPr>
        <w:shd w:val="clear" w:color="auto" w:fill="FFFFFF"/>
        <w:spacing w:after="60" w:line="240" w:lineRule="auto"/>
        <w:ind w:left="360"/>
        <w:rPr>
          <w:rFonts w:eastAsia="Times New Roman" w:cs="Times New Roman"/>
          <w:color w:val="202124"/>
          <w:sz w:val="22"/>
          <w:szCs w:val="22"/>
        </w:rPr>
      </w:pPr>
      <w:r w:rsidRPr="004342DF">
        <w:rPr>
          <w:rFonts w:eastAsia="Times New Roman" w:cs="Times New Roman"/>
          <w:color w:val="202124"/>
          <w:sz w:val="22"/>
          <w:szCs w:val="22"/>
        </w:rPr>
        <w:t>Guar gum. ...</w:t>
      </w:r>
    </w:p>
    <w:p w14:paraId="574940B3" w14:textId="77777777" w:rsidR="004342DF" w:rsidRPr="004342DF" w:rsidRDefault="004342DF" w:rsidP="004342DF">
      <w:pPr>
        <w:shd w:val="clear" w:color="auto" w:fill="FFFFFF"/>
        <w:spacing w:after="60" w:line="240" w:lineRule="auto"/>
        <w:ind w:left="360"/>
        <w:rPr>
          <w:rFonts w:eastAsia="Times New Roman" w:cs="Times New Roman"/>
          <w:color w:val="202124"/>
          <w:sz w:val="22"/>
          <w:szCs w:val="22"/>
        </w:rPr>
      </w:pPr>
      <w:r w:rsidRPr="004342DF">
        <w:rPr>
          <w:rFonts w:eastAsia="Times New Roman" w:cs="Times New Roman"/>
          <w:color w:val="202124"/>
          <w:sz w:val="22"/>
          <w:szCs w:val="22"/>
        </w:rPr>
        <w:t>Ascorbic acid. ...</w:t>
      </w:r>
    </w:p>
    <w:p w14:paraId="3043F63C" w14:textId="77777777" w:rsidR="004342DF" w:rsidRPr="004342DF" w:rsidRDefault="004342DF" w:rsidP="004342DF">
      <w:pPr>
        <w:shd w:val="clear" w:color="auto" w:fill="FFFFFF"/>
        <w:spacing w:after="60" w:line="240" w:lineRule="auto"/>
        <w:ind w:left="360"/>
        <w:rPr>
          <w:rFonts w:eastAsia="Times New Roman" w:cs="Times New Roman"/>
          <w:color w:val="202124"/>
          <w:sz w:val="22"/>
          <w:szCs w:val="22"/>
        </w:rPr>
      </w:pPr>
      <w:r w:rsidRPr="004342DF">
        <w:rPr>
          <w:rFonts w:eastAsia="Times New Roman" w:cs="Times New Roman"/>
          <w:color w:val="202124"/>
          <w:sz w:val="22"/>
          <w:szCs w:val="22"/>
        </w:rPr>
        <w:t>Agar. ...</w:t>
      </w:r>
    </w:p>
    <w:p w14:paraId="3A4A2228" w14:textId="77777777" w:rsidR="004342DF" w:rsidRPr="004342DF" w:rsidRDefault="004342DF" w:rsidP="004342DF">
      <w:pPr>
        <w:shd w:val="clear" w:color="auto" w:fill="FFFFFF"/>
        <w:spacing w:after="60" w:line="240" w:lineRule="auto"/>
        <w:ind w:left="360"/>
        <w:rPr>
          <w:rFonts w:eastAsia="Times New Roman" w:cs="Times New Roman"/>
          <w:color w:val="202124"/>
          <w:sz w:val="22"/>
          <w:szCs w:val="22"/>
        </w:rPr>
      </w:pPr>
      <w:r w:rsidRPr="004342DF">
        <w:rPr>
          <w:rFonts w:eastAsia="Times New Roman" w:cs="Times New Roman"/>
          <w:color w:val="202124"/>
          <w:sz w:val="22"/>
          <w:szCs w:val="22"/>
        </w:rPr>
        <w:t>Gelatin. ...</w:t>
      </w:r>
    </w:p>
    <w:p w14:paraId="490D2183" w14:textId="77777777" w:rsidR="004342DF" w:rsidRPr="004342DF" w:rsidRDefault="004342DF" w:rsidP="004342DF">
      <w:pPr>
        <w:shd w:val="clear" w:color="auto" w:fill="FFFFFF"/>
        <w:spacing w:after="60" w:line="240" w:lineRule="auto"/>
        <w:ind w:left="360"/>
        <w:rPr>
          <w:rFonts w:eastAsia="Times New Roman" w:cs="Times New Roman"/>
          <w:color w:val="202124"/>
          <w:sz w:val="22"/>
          <w:szCs w:val="22"/>
        </w:rPr>
      </w:pPr>
      <w:r w:rsidRPr="004342DF">
        <w:rPr>
          <w:rFonts w:eastAsia="Times New Roman" w:cs="Times New Roman"/>
          <w:color w:val="202124"/>
          <w:sz w:val="22"/>
          <w:szCs w:val="22"/>
        </w:rPr>
        <w:t>Natural Flavors. ...</w:t>
      </w:r>
    </w:p>
    <w:p w14:paraId="17CB7549" w14:textId="77777777" w:rsidR="004342DF" w:rsidRPr="004342DF" w:rsidRDefault="004342DF" w:rsidP="004342DF">
      <w:pPr>
        <w:shd w:val="clear" w:color="auto" w:fill="FFFFFF"/>
        <w:spacing w:after="60" w:line="240" w:lineRule="auto"/>
        <w:ind w:left="360"/>
        <w:rPr>
          <w:rFonts w:eastAsia="Times New Roman" w:cs="Times New Roman"/>
          <w:color w:val="202124"/>
          <w:sz w:val="22"/>
          <w:szCs w:val="22"/>
        </w:rPr>
      </w:pPr>
      <w:r w:rsidRPr="004342DF">
        <w:rPr>
          <w:rFonts w:eastAsia="Times New Roman" w:cs="Times New Roman"/>
          <w:color w:val="202124"/>
          <w:sz w:val="22"/>
          <w:szCs w:val="22"/>
        </w:rPr>
        <w:t>Lecithin.</w:t>
      </w:r>
    </w:p>
    <w:p w14:paraId="6E47FDF3" w14:textId="77777777" w:rsidR="004342DF" w:rsidRDefault="004342DF" w:rsidP="00BC4077">
      <w:pPr>
        <w:snapToGrid w:val="0"/>
        <w:spacing w:line="256" w:lineRule="auto"/>
        <w:rPr>
          <w:bCs/>
          <w:sz w:val="22"/>
          <w:szCs w:val="22"/>
        </w:rPr>
      </w:pPr>
    </w:p>
    <w:p w14:paraId="1F43AEB5" w14:textId="733F2A3D" w:rsidR="00BC4077" w:rsidRDefault="00BC4077" w:rsidP="00BC4077">
      <w:pPr>
        <w:snapToGrid w:val="0"/>
        <w:spacing w:line="256" w:lineRule="auto"/>
        <w:rPr>
          <w:bCs/>
          <w:sz w:val="22"/>
          <w:szCs w:val="22"/>
        </w:rPr>
      </w:pPr>
      <w:r>
        <w:rPr>
          <w:b/>
          <w:bCs/>
          <w:sz w:val="22"/>
          <w:szCs w:val="22"/>
        </w:rPr>
        <w:t>Lab 13.</w:t>
      </w:r>
      <w:r>
        <w:rPr>
          <w:bCs/>
          <w:sz w:val="22"/>
          <w:szCs w:val="22"/>
        </w:rPr>
        <w:t xml:space="preserve">  Theme Nutritional quality of organic food</w:t>
      </w:r>
    </w:p>
    <w:p w14:paraId="47C3F543" w14:textId="77777777" w:rsidR="005C1F81" w:rsidRDefault="005C1F81" w:rsidP="005C1F81">
      <w:pPr>
        <w:snapToGrid w:val="0"/>
        <w:spacing w:line="256" w:lineRule="auto"/>
        <w:rPr>
          <w:rFonts w:cs="Times New Roman"/>
          <w:color w:val="333333"/>
          <w:sz w:val="22"/>
          <w:szCs w:val="22"/>
          <w:shd w:val="clear" w:color="auto" w:fill="FCFCFC"/>
        </w:rPr>
      </w:pPr>
      <w:r w:rsidRPr="005C1F81">
        <w:rPr>
          <w:rFonts w:cs="Times New Roman"/>
          <w:color w:val="333333"/>
          <w:sz w:val="22"/>
          <w:szCs w:val="22"/>
          <w:shd w:val="clear" w:color="auto" w:fill="FCFCFC"/>
        </w:rPr>
        <w:t xml:space="preserve">The major points are: </w:t>
      </w:r>
    </w:p>
    <w:p w14:paraId="282F84ED" w14:textId="77777777" w:rsidR="005C1F81" w:rsidRDefault="005C1F81" w:rsidP="005C1F81">
      <w:pPr>
        <w:snapToGrid w:val="0"/>
        <w:spacing w:line="256" w:lineRule="auto"/>
        <w:rPr>
          <w:rFonts w:cs="Times New Roman"/>
          <w:color w:val="333333"/>
          <w:sz w:val="22"/>
          <w:szCs w:val="22"/>
          <w:shd w:val="clear" w:color="auto" w:fill="FCFCFC"/>
        </w:rPr>
      </w:pPr>
      <w:r w:rsidRPr="005C1F81">
        <w:rPr>
          <w:rFonts w:cs="Times New Roman"/>
          <w:color w:val="333333"/>
          <w:sz w:val="22"/>
          <w:szCs w:val="22"/>
          <w:shd w:val="clear" w:color="auto" w:fill="FCFCFC"/>
        </w:rPr>
        <w:t>1/ organic plant products contain more dry matter and</w:t>
      </w:r>
      <w:r>
        <w:rPr>
          <w:rFonts w:ascii="Georgia" w:hAnsi="Georgia"/>
          <w:color w:val="333333"/>
          <w:sz w:val="27"/>
          <w:szCs w:val="27"/>
          <w:shd w:val="clear" w:color="auto" w:fill="FCFCFC"/>
        </w:rPr>
        <w:t xml:space="preserve"> </w:t>
      </w:r>
      <w:r w:rsidRPr="005C1F81">
        <w:rPr>
          <w:rFonts w:cs="Times New Roman"/>
          <w:color w:val="333333"/>
          <w:sz w:val="22"/>
          <w:szCs w:val="22"/>
          <w:shd w:val="clear" w:color="auto" w:fill="FCFCFC"/>
        </w:rPr>
        <w:t xml:space="preserve">minerals (Fe, Mg); and contain more </w:t>
      </w:r>
      <w:proofErr w:type="gramStart"/>
      <w:r w:rsidRPr="005C1F81">
        <w:rPr>
          <w:rFonts w:cs="Times New Roman"/>
          <w:color w:val="333333"/>
          <w:sz w:val="22"/>
          <w:szCs w:val="22"/>
          <w:shd w:val="clear" w:color="auto" w:fill="FCFCFC"/>
        </w:rPr>
        <w:t>anti-oxidant</w:t>
      </w:r>
      <w:proofErr w:type="gramEnd"/>
      <w:r w:rsidRPr="005C1F81">
        <w:rPr>
          <w:rFonts w:cs="Times New Roman"/>
          <w:color w:val="333333"/>
          <w:sz w:val="22"/>
          <w:szCs w:val="22"/>
          <w:shd w:val="clear" w:color="auto" w:fill="FCFCFC"/>
        </w:rPr>
        <w:t xml:space="preserve"> micronutrients such as phenols and salicylic acid,</w:t>
      </w:r>
    </w:p>
    <w:p w14:paraId="4705995A" w14:textId="77777777" w:rsidR="005C1F81" w:rsidRDefault="005C1F81" w:rsidP="005C1F81">
      <w:pPr>
        <w:snapToGrid w:val="0"/>
        <w:spacing w:line="256" w:lineRule="auto"/>
        <w:rPr>
          <w:rFonts w:cs="Times New Roman"/>
          <w:color w:val="333333"/>
          <w:sz w:val="22"/>
          <w:szCs w:val="22"/>
          <w:shd w:val="clear" w:color="auto" w:fill="FCFCFC"/>
        </w:rPr>
      </w:pPr>
      <w:r w:rsidRPr="005C1F81">
        <w:rPr>
          <w:rFonts w:cs="Times New Roman"/>
          <w:color w:val="333333"/>
          <w:sz w:val="22"/>
          <w:szCs w:val="22"/>
          <w:shd w:val="clear" w:color="auto" w:fill="FCFCFC"/>
        </w:rPr>
        <w:t xml:space="preserve"> 2/ organic animal products contain more polyunsaturated fatty acids, </w:t>
      </w:r>
    </w:p>
    <w:p w14:paraId="682CDFD0" w14:textId="77777777" w:rsidR="005C1F81" w:rsidRDefault="005C1F81" w:rsidP="005C1F81">
      <w:pPr>
        <w:snapToGrid w:val="0"/>
        <w:spacing w:line="256" w:lineRule="auto"/>
        <w:rPr>
          <w:rFonts w:cs="Times New Roman"/>
          <w:color w:val="333333"/>
          <w:sz w:val="22"/>
          <w:szCs w:val="22"/>
          <w:shd w:val="clear" w:color="auto" w:fill="FCFCFC"/>
        </w:rPr>
      </w:pPr>
      <w:r w:rsidRPr="005C1F81">
        <w:rPr>
          <w:rFonts w:cs="Times New Roman"/>
          <w:color w:val="333333"/>
          <w:sz w:val="22"/>
          <w:szCs w:val="22"/>
          <w:shd w:val="clear" w:color="auto" w:fill="FCFCFC"/>
        </w:rPr>
        <w:t xml:space="preserve">3/ data on carbohydrate, protein and vitamin levels are insufficiently documented, </w:t>
      </w:r>
    </w:p>
    <w:p w14:paraId="505A01B8" w14:textId="77777777" w:rsidR="005C1F81" w:rsidRDefault="005C1F81" w:rsidP="005C1F81">
      <w:pPr>
        <w:snapToGrid w:val="0"/>
        <w:spacing w:line="256" w:lineRule="auto"/>
        <w:rPr>
          <w:rFonts w:cs="Times New Roman"/>
          <w:color w:val="333333"/>
          <w:sz w:val="22"/>
          <w:szCs w:val="22"/>
          <w:shd w:val="clear" w:color="auto" w:fill="FCFCFC"/>
        </w:rPr>
      </w:pPr>
      <w:r w:rsidRPr="005C1F81">
        <w:rPr>
          <w:rFonts w:cs="Times New Roman"/>
          <w:color w:val="333333"/>
          <w:sz w:val="22"/>
          <w:szCs w:val="22"/>
          <w:shd w:val="clear" w:color="auto" w:fill="FCFCFC"/>
        </w:rPr>
        <w:t xml:space="preserve">4/ 94–100% of organic food does not contain any pesticide residues, </w:t>
      </w:r>
    </w:p>
    <w:p w14:paraId="407FB92B" w14:textId="77777777" w:rsidR="005C1F81" w:rsidRDefault="005C1F81" w:rsidP="005C1F81">
      <w:pPr>
        <w:snapToGrid w:val="0"/>
        <w:spacing w:line="256" w:lineRule="auto"/>
        <w:rPr>
          <w:rFonts w:cs="Times New Roman"/>
          <w:color w:val="333333"/>
          <w:sz w:val="22"/>
          <w:szCs w:val="22"/>
          <w:shd w:val="clear" w:color="auto" w:fill="FCFCFC"/>
        </w:rPr>
      </w:pPr>
      <w:r w:rsidRPr="005C1F81">
        <w:rPr>
          <w:rFonts w:cs="Times New Roman"/>
          <w:color w:val="333333"/>
          <w:sz w:val="22"/>
          <w:szCs w:val="22"/>
          <w:shd w:val="clear" w:color="auto" w:fill="FCFCFC"/>
        </w:rPr>
        <w:t xml:space="preserve">5/ organic vegetables contain far less nitrates, about 50% less; and 6/ organic cereals contain overall similar levels of mycotoxins as conventional ones. </w:t>
      </w:r>
    </w:p>
    <w:p w14:paraId="4A603AA5" w14:textId="2800C484" w:rsidR="005C1F81" w:rsidRPr="005C1F81" w:rsidRDefault="005C1F81" w:rsidP="005C1F81">
      <w:pPr>
        <w:snapToGrid w:val="0"/>
        <w:spacing w:line="256" w:lineRule="auto"/>
        <w:rPr>
          <w:rFonts w:cs="Times New Roman"/>
          <w:bCs/>
          <w:sz w:val="22"/>
          <w:szCs w:val="22"/>
        </w:rPr>
      </w:pPr>
      <w:r w:rsidRPr="005C1F81">
        <w:rPr>
          <w:rFonts w:cs="Times New Roman"/>
          <w:color w:val="333333"/>
          <w:sz w:val="22"/>
          <w:szCs w:val="22"/>
          <w:shd w:val="clear" w:color="auto" w:fill="FCFCFC"/>
        </w:rPr>
        <w:lastRenderedPageBreak/>
        <w:t xml:space="preserve">Thus, organic agricultural systems have already proved able to produce food with high quality standards. I </w:t>
      </w:r>
      <w:proofErr w:type="gramStart"/>
      <w:r w:rsidRPr="005C1F81">
        <w:rPr>
          <w:rFonts w:cs="Times New Roman"/>
          <w:color w:val="333333"/>
          <w:sz w:val="22"/>
          <w:szCs w:val="22"/>
          <w:shd w:val="clear" w:color="auto" w:fill="FCFCFC"/>
        </w:rPr>
        <w:t>propose also</w:t>
      </w:r>
      <w:proofErr w:type="gramEnd"/>
      <w:r w:rsidRPr="005C1F81">
        <w:rPr>
          <w:rFonts w:cs="Times New Roman"/>
          <w:color w:val="333333"/>
          <w:sz w:val="22"/>
          <w:szCs w:val="22"/>
          <w:shd w:val="clear" w:color="auto" w:fill="FCFCFC"/>
        </w:rPr>
        <w:t xml:space="preserve"> improvements of organic production to achieve sustainable food production for humans in the near future.</w:t>
      </w:r>
    </w:p>
    <w:p w14:paraId="59444CF6" w14:textId="77777777" w:rsidR="004342DF" w:rsidRDefault="004342DF" w:rsidP="00BC4077">
      <w:pPr>
        <w:snapToGrid w:val="0"/>
        <w:spacing w:line="256" w:lineRule="auto"/>
        <w:rPr>
          <w:bCs/>
          <w:sz w:val="22"/>
          <w:szCs w:val="22"/>
        </w:rPr>
      </w:pPr>
    </w:p>
    <w:p w14:paraId="59BCAC1D" w14:textId="07EDD19A" w:rsidR="00BC4077" w:rsidRDefault="005C1F81" w:rsidP="00BC4077">
      <w:pPr>
        <w:snapToGrid w:val="0"/>
        <w:spacing w:line="256" w:lineRule="auto"/>
        <w:rPr>
          <w:bCs/>
          <w:sz w:val="22"/>
          <w:szCs w:val="22"/>
        </w:rPr>
      </w:pPr>
      <w:r>
        <w:rPr>
          <w:b/>
          <w:bCs/>
          <w:sz w:val="22"/>
          <w:szCs w:val="22"/>
        </w:rPr>
        <w:t>Lab 14.</w:t>
      </w:r>
      <w:r>
        <w:rPr>
          <w:bCs/>
          <w:sz w:val="22"/>
          <w:szCs w:val="22"/>
        </w:rPr>
        <w:t xml:space="preserve">  Theme Methods of determination of </w:t>
      </w:r>
      <w:r>
        <w:rPr>
          <w:sz w:val="22"/>
          <w:szCs w:val="22"/>
        </w:rPr>
        <w:t>pesticides</w:t>
      </w:r>
      <w:r>
        <w:rPr>
          <w:bCs/>
          <w:sz w:val="22"/>
          <w:szCs w:val="22"/>
        </w:rPr>
        <w:t>.</w:t>
      </w:r>
    </w:p>
    <w:p w14:paraId="3A264852" w14:textId="77777777" w:rsidR="0057054D" w:rsidRDefault="0057054D" w:rsidP="0057054D">
      <w:pPr>
        <w:snapToGrid w:val="0"/>
        <w:spacing w:line="256" w:lineRule="auto"/>
        <w:ind w:firstLine="720"/>
        <w:rPr>
          <w:rFonts w:cs="Times New Roman"/>
          <w:color w:val="2E2E2E"/>
          <w:sz w:val="22"/>
          <w:szCs w:val="22"/>
        </w:rPr>
      </w:pPr>
      <w:r w:rsidRPr="0057054D">
        <w:rPr>
          <w:rFonts w:cs="Times New Roman"/>
          <w:color w:val="2E2E2E"/>
          <w:sz w:val="22"/>
          <w:szCs w:val="22"/>
        </w:rPr>
        <w:t xml:space="preserve">Pesticides are applied widely to protect plants from disease, </w:t>
      </w:r>
      <w:proofErr w:type="gramStart"/>
      <w:r w:rsidRPr="0057054D">
        <w:rPr>
          <w:rFonts w:cs="Times New Roman"/>
          <w:color w:val="2E2E2E"/>
          <w:sz w:val="22"/>
          <w:szCs w:val="22"/>
        </w:rPr>
        <w:t>weeds</w:t>
      </w:r>
      <w:proofErr w:type="gramEnd"/>
      <w:r w:rsidRPr="0057054D">
        <w:rPr>
          <w:rFonts w:cs="Times New Roman"/>
          <w:color w:val="2E2E2E"/>
          <w:sz w:val="22"/>
          <w:szCs w:val="22"/>
        </w:rPr>
        <w:t xml:space="preserve"> and insect damage, and usually come into contact with soil, where they undergo a variety of transformations that provide a complex pattern of metabolites. This article reviews the most relevant analytical methods for determining pesticides and their transformation products in soils. We address some recent advances in sampling and sample-preparation technologies for soil analysis. We discuss and critically evaluate procedures, such as liquid extraction methods (pressurized liquid extraction or microwave-assisted extraction) and solid-phase based methods (headspace solid-phase microextraction, solid-phase microextraction or matrix-solid-phase dispersion). Analysis of pesticides is generally carried out </w:t>
      </w:r>
      <w:proofErr w:type="gramStart"/>
      <w:r w:rsidRPr="0057054D">
        <w:rPr>
          <w:rFonts w:cs="Times New Roman"/>
          <w:color w:val="2E2E2E"/>
          <w:sz w:val="22"/>
          <w:szCs w:val="22"/>
        </w:rPr>
        <w:t>by</w:t>
      </w:r>
      <w:r>
        <w:rPr>
          <w:rFonts w:cs="Times New Roman"/>
          <w:color w:val="2E2E2E"/>
          <w:sz w:val="22"/>
          <w:szCs w:val="22"/>
        </w:rPr>
        <w:t>;</w:t>
      </w:r>
      <w:proofErr w:type="gramEnd"/>
    </w:p>
    <w:p w14:paraId="52392AF4" w14:textId="77777777" w:rsidR="0057054D" w:rsidRDefault="0057054D" w:rsidP="0057054D">
      <w:pPr>
        <w:snapToGrid w:val="0"/>
        <w:spacing w:line="256" w:lineRule="auto"/>
        <w:ind w:firstLine="720"/>
        <w:rPr>
          <w:rFonts w:cs="Times New Roman"/>
          <w:color w:val="2E2E2E"/>
          <w:sz w:val="22"/>
          <w:szCs w:val="22"/>
        </w:rPr>
      </w:pPr>
      <w:r w:rsidRPr="0057054D">
        <w:rPr>
          <w:rFonts w:cs="Times New Roman"/>
          <w:color w:val="2E2E2E"/>
          <w:sz w:val="22"/>
          <w:szCs w:val="22"/>
        </w:rPr>
        <w:t xml:space="preserve"> gas chromatography (GC) or liquid chromatography (LC) coupled to different detectors, especially to mass spectrometers (MSs). </w:t>
      </w:r>
    </w:p>
    <w:p w14:paraId="498EB698" w14:textId="69B14F39" w:rsidR="0057054D" w:rsidRPr="0057054D" w:rsidRDefault="0057054D" w:rsidP="0057054D">
      <w:pPr>
        <w:snapToGrid w:val="0"/>
        <w:spacing w:line="256" w:lineRule="auto"/>
        <w:ind w:firstLine="720"/>
        <w:rPr>
          <w:rFonts w:cs="Times New Roman"/>
          <w:color w:val="2E2E2E"/>
          <w:sz w:val="22"/>
          <w:szCs w:val="22"/>
        </w:rPr>
      </w:pPr>
      <w:r w:rsidRPr="0057054D">
        <w:rPr>
          <w:rFonts w:cs="Times New Roman"/>
          <w:color w:val="2E2E2E"/>
          <w:sz w:val="22"/>
          <w:szCs w:val="22"/>
        </w:rPr>
        <w:t>However, alternative and/or complementary methods, using capillary electrophoresis (CE), biosensors and bioassays have emerged recently. </w:t>
      </w:r>
    </w:p>
    <w:p w14:paraId="69BB877A" w14:textId="77777777" w:rsidR="0057054D" w:rsidRDefault="0057054D" w:rsidP="0057054D">
      <w:pPr>
        <w:snapToGrid w:val="0"/>
        <w:spacing w:line="256" w:lineRule="auto"/>
        <w:ind w:firstLine="720"/>
        <w:rPr>
          <w:rFonts w:cs="Times New Roman"/>
          <w:color w:val="2E2E2E"/>
          <w:sz w:val="22"/>
          <w:szCs w:val="22"/>
        </w:rPr>
      </w:pPr>
      <w:r w:rsidRPr="0057054D">
        <w:rPr>
          <w:rFonts w:cs="Times New Roman"/>
          <w:color w:val="2E2E2E"/>
          <w:sz w:val="22"/>
          <w:szCs w:val="22"/>
        </w:rPr>
        <w:t xml:space="preserve">Pesticides are widely applied to prevent unwanted pests from attacking crops and livestock which led to their access into the environment. Overuses of pesticides in environment are presence of pesticide residues and their metabolites that are causing serious detrimental effects on human health and all other living organisms. Several severe diseases (Cancer, chronic obstructive pulmonary disease, birth defects, infertility) and more damages of human health are associated with the exposure of pesticides. The maximum residue limits for pesticides have been regulated by the Codex Alimentarius Commission and European Union to protect human health. Thus, monitoring these compounds is extremely important to ensure that only permitted levels of pesticide are consumed. To date, several techniques have been developed for pesticide detection, from conventional analytical to advanced detection techniques. </w:t>
      </w:r>
    </w:p>
    <w:p w14:paraId="022EC4DC" w14:textId="7631A608" w:rsidR="0057054D" w:rsidRPr="0057054D" w:rsidRDefault="0057054D" w:rsidP="0057054D">
      <w:pPr>
        <w:snapToGrid w:val="0"/>
        <w:spacing w:line="256" w:lineRule="auto"/>
        <w:ind w:firstLine="720"/>
        <w:rPr>
          <w:rFonts w:cs="Times New Roman"/>
          <w:bCs/>
          <w:sz w:val="22"/>
          <w:szCs w:val="22"/>
        </w:rPr>
      </w:pPr>
      <w:r w:rsidRPr="0057054D">
        <w:rPr>
          <w:rFonts w:cs="Times New Roman"/>
          <w:color w:val="2E2E2E"/>
          <w:sz w:val="22"/>
          <w:szCs w:val="22"/>
        </w:rPr>
        <w:t>The conventional analytical methods are </w:t>
      </w:r>
      <w:hyperlink r:id="rId69" w:tooltip="Learn more about gas chromatography from ScienceDirect's AI-generated Topic Pages" w:history="1">
        <w:r w:rsidRPr="0057054D">
          <w:rPr>
            <w:rStyle w:val="a3"/>
            <w:rFonts w:cs="Times New Roman"/>
            <w:color w:val="2E2E2E"/>
            <w:sz w:val="22"/>
            <w:szCs w:val="22"/>
          </w:rPr>
          <w:t>gas chromatography</w:t>
        </w:r>
      </w:hyperlink>
      <w:r w:rsidRPr="0057054D">
        <w:rPr>
          <w:rFonts w:cs="Times New Roman"/>
          <w:color w:val="2E2E2E"/>
          <w:sz w:val="22"/>
          <w:szCs w:val="22"/>
        </w:rPr>
        <w:t> and </w:t>
      </w:r>
      <w:hyperlink r:id="rId70" w:tooltip="Learn more about high performance liquid chromatography from ScienceDirect's AI-generated Topic Pages" w:history="1">
        <w:r w:rsidRPr="0057054D">
          <w:rPr>
            <w:rStyle w:val="a3"/>
            <w:rFonts w:cs="Times New Roman"/>
            <w:color w:val="2E2E2E"/>
            <w:sz w:val="22"/>
            <w:szCs w:val="22"/>
          </w:rPr>
          <w:t>high performance liquid chromatography</w:t>
        </w:r>
      </w:hyperlink>
      <w:r w:rsidRPr="0057054D">
        <w:rPr>
          <w:rFonts w:cs="Times New Roman"/>
          <w:color w:val="2E2E2E"/>
          <w:sz w:val="22"/>
          <w:szCs w:val="22"/>
        </w:rPr>
        <w:t xml:space="preserve"> coupled with various detectors involved a sample preparation step prior to further analysis. Advanced detection methods refer to the </w:t>
      </w:r>
      <w:proofErr w:type="gramStart"/>
      <w:r w:rsidRPr="0057054D">
        <w:rPr>
          <w:rFonts w:cs="Times New Roman"/>
          <w:color w:val="2E2E2E"/>
          <w:sz w:val="22"/>
          <w:szCs w:val="22"/>
        </w:rPr>
        <w:t>sensors</w:t>
      </w:r>
      <w:proofErr w:type="gramEnd"/>
      <w:r w:rsidRPr="0057054D">
        <w:rPr>
          <w:rFonts w:cs="Times New Roman"/>
          <w:color w:val="2E2E2E"/>
          <w:sz w:val="22"/>
          <w:szCs w:val="22"/>
        </w:rPr>
        <w:t xml:space="preserve"> development such as electrochemical, optical, piezoelectric and molecular imprinted polymer. In this review, we summarized and explained the available analytical and advanced methods for determination of pesticides compound in environment and foodstuffs. Also, pesticides classification and its toxicity, and available extraction methods are briefly discussed.</w:t>
      </w:r>
    </w:p>
    <w:p w14:paraId="41159CB2" w14:textId="1F7ABCFE" w:rsidR="00BC4077" w:rsidRDefault="00BC4077" w:rsidP="00F952F7">
      <w:pPr>
        <w:shd w:val="clear" w:color="auto" w:fill="FFFFFF"/>
        <w:spacing w:after="100" w:afterAutospacing="1" w:line="450" w:lineRule="atLeast"/>
        <w:ind w:left="57" w:right="57"/>
        <w:outlineLvl w:val="2"/>
        <w:rPr>
          <w:rFonts w:ascii="Cambria" w:eastAsia="Times New Roman" w:hAnsi="Cambria" w:cs="Times New Roman"/>
          <w:color w:val="734126"/>
          <w:spacing w:val="-2"/>
          <w:sz w:val="32"/>
          <w:szCs w:val="32"/>
          <w:highlight w:val="yellow"/>
        </w:rPr>
      </w:pPr>
      <w:r>
        <w:rPr>
          <w:b/>
          <w:bCs/>
          <w:sz w:val="22"/>
          <w:szCs w:val="22"/>
        </w:rPr>
        <w:t>Lab 15.</w:t>
      </w:r>
      <w:r>
        <w:rPr>
          <w:bCs/>
          <w:sz w:val="22"/>
          <w:szCs w:val="22"/>
        </w:rPr>
        <w:t xml:space="preserve">  Theme </w:t>
      </w:r>
      <w:r>
        <w:rPr>
          <w:rFonts w:eastAsia="Microsoft JhengHei"/>
          <w:sz w:val="22"/>
          <w:szCs w:val="22"/>
        </w:rPr>
        <w:t>Contamination by microorganisms and mycotoxins</w:t>
      </w:r>
    </w:p>
    <w:p w14:paraId="309ECD34" w14:textId="4678E2A4" w:rsidR="00003C84" w:rsidRPr="006A48ED" w:rsidRDefault="006A48ED" w:rsidP="00F952F7">
      <w:pPr>
        <w:shd w:val="clear" w:color="auto" w:fill="FFFFFF"/>
        <w:spacing w:after="100" w:afterAutospacing="1" w:line="240" w:lineRule="auto"/>
        <w:ind w:left="57" w:right="57" w:firstLine="720"/>
        <w:rPr>
          <w:rFonts w:eastAsia="Times New Roman" w:cs="Times New Roman"/>
          <w:color w:val="212121"/>
          <w:sz w:val="22"/>
          <w:szCs w:val="22"/>
        </w:rPr>
      </w:pPr>
      <w:r w:rsidRPr="006A48ED">
        <w:rPr>
          <w:rFonts w:cs="Times New Roman"/>
          <w:color w:val="212121"/>
          <w:sz w:val="22"/>
          <w:szCs w:val="22"/>
          <w:shd w:val="clear" w:color="auto" w:fill="FFFFFF"/>
        </w:rPr>
        <w:t>The contamination of food and feeds with mycotoxins poses a global health risk to humans and animals, with major economic consequences. Good agricultural and manufacturing practices can help control mycotoxin contamination. Since these actions are not always effective, several methods of decontamination have also been developed, including physical, chemical, and biological methods. Biological decontamination using microorganisms has revealed new opportunities. However, these biological methods require legal regulations and more research before they can be used in food production. Currently, only selected biological methods are acceptable for the decontamination of feed. This review discusses the literature on the use of microorganisms to remove mycotoxins and presents their possible mechanisms of action. Special attention is given to </w:t>
      </w:r>
      <w:r w:rsidRPr="006A48ED">
        <w:rPr>
          <w:rStyle w:val="a5"/>
          <w:rFonts w:cs="Times New Roman"/>
          <w:color w:val="212121"/>
          <w:sz w:val="22"/>
          <w:szCs w:val="22"/>
          <w:shd w:val="clear" w:color="auto" w:fill="FFFFFF"/>
        </w:rPr>
        <w:t>Saccharomyces cerevisiae</w:t>
      </w:r>
      <w:r w:rsidRPr="006A48ED">
        <w:rPr>
          <w:rFonts w:cs="Times New Roman"/>
          <w:color w:val="212121"/>
          <w:sz w:val="22"/>
          <w:szCs w:val="22"/>
          <w:shd w:val="clear" w:color="auto" w:fill="FFFFFF"/>
        </w:rPr>
        <w:t> yeast and lactic acid bacteria, and the use of yeast cell wall derivatives.</w:t>
      </w:r>
    </w:p>
    <w:sectPr w:rsidR="00003C84" w:rsidRPr="006A48ED">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NewRomanPSMT">
    <w:altName w:val="Yu Gothic"/>
    <w:panose1 w:val="00000000000000000000"/>
    <w:charset w:val="80"/>
    <w:family w:val="auto"/>
    <w:notTrueType/>
    <w:pitch w:val="default"/>
    <w:sig w:usb0="00000003" w:usb1="08070000" w:usb2="00000010" w:usb3="00000000" w:csb0="00020001"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BD2448"/>
    <w:multiLevelType w:val="multilevel"/>
    <w:tmpl w:val="2BEC486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3F851EC9"/>
    <w:multiLevelType w:val="hybridMultilevel"/>
    <w:tmpl w:val="7988E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8DD0FBB"/>
    <w:multiLevelType w:val="multilevel"/>
    <w:tmpl w:val="78A26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3E26737"/>
    <w:multiLevelType w:val="multilevel"/>
    <w:tmpl w:val="C73AA4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2024816717">
    <w:abstractNumId w:val="3"/>
    <w:lvlOverride w:ilvl="0"/>
    <w:lvlOverride w:ilvl="1"/>
    <w:lvlOverride w:ilvl="2"/>
    <w:lvlOverride w:ilvl="3"/>
    <w:lvlOverride w:ilvl="4"/>
    <w:lvlOverride w:ilvl="5"/>
    <w:lvlOverride w:ilvl="6"/>
    <w:lvlOverride w:ilvl="7"/>
    <w:lvlOverride w:ilvl="8"/>
  </w:num>
  <w:num w:numId="2" w16cid:durableId="31295010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53950560">
    <w:abstractNumId w:val="2"/>
  </w:num>
  <w:num w:numId="4" w16cid:durableId="17829197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0CAB"/>
    <w:rsid w:val="00003C84"/>
    <w:rsid w:val="0005249B"/>
    <w:rsid w:val="001B598C"/>
    <w:rsid w:val="00303FE7"/>
    <w:rsid w:val="00362CDC"/>
    <w:rsid w:val="0040495B"/>
    <w:rsid w:val="004342DF"/>
    <w:rsid w:val="004B21A4"/>
    <w:rsid w:val="00515038"/>
    <w:rsid w:val="0057054D"/>
    <w:rsid w:val="005C1F81"/>
    <w:rsid w:val="006A48ED"/>
    <w:rsid w:val="006E210A"/>
    <w:rsid w:val="007637BF"/>
    <w:rsid w:val="007E76AD"/>
    <w:rsid w:val="00835CAD"/>
    <w:rsid w:val="00A76416"/>
    <w:rsid w:val="00A766C6"/>
    <w:rsid w:val="00AA6743"/>
    <w:rsid w:val="00B26FED"/>
    <w:rsid w:val="00BC4077"/>
    <w:rsid w:val="00CB2044"/>
    <w:rsid w:val="00D81082"/>
    <w:rsid w:val="00DB0CAB"/>
    <w:rsid w:val="00E1612B"/>
    <w:rsid w:val="00E40631"/>
    <w:rsid w:val="00E81FE7"/>
    <w:rsid w:val="00F25E64"/>
    <w:rsid w:val="00F952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A996736"/>
  <w15:chartTrackingRefBased/>
  <w15:docId w15:val="{DB352DE8-5FD1-4590-B309-BEC9D402B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Arial"/>
        <w:sz w:val="24"/>
        <w:szCs w:val="24"/>
        <w:lang w:val="en-US"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249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B0CAB"/>
    <w:rPr>
      <w:color w:val="0563C1" w:themeColor="hyperlink"/>
      <w:u w:val="single"/>
    </w:rPr>
  </w:style>
  <w:style w:type="paragraph" w:customStyle="1" w:styleId="trt0xe">
    <w:name w:val="trt0xe"/>
    <w:basedOn w:val="a"/>
    <w:rsid w:val="004342DF"/>
    <w:pPr>
      <w:spacing w:before="100" w:beforeAutospacing="1" w:after="100" w:afterAutospacing="1" w:line="240" w:lineRule="auto"/>
    </w:pPr>
    <w:rPr>
      <w:rFonts w:eastAsia="Times New Roman" w:cs="Times New Roman"/>
    </w:rPr>
  </w:style>
  <w:style w:type="paragraph" w:styleId="a4">
    <w:name w:val="List Paragraph"/>
    <w:basedOn w:val="a"/>
    <w:uiPriority w:val="34"/>
    <w:qFormat/>
    <w:rsid w:val="004342DF"/>
    <w:pPr>
      <w:ind w:left="720"/>
      <w:contextualSpacing/>
    </w:pPr>
  </w:style>
  <w:style w:type="character" w:styleId="a5">
    <w:name w:val="Emphasis"/>
    <w:basedOn w:val="a0"/>
    <w:uiPriority w:val="20"/>
    <w:qFormat/>
    <w:rsid w:val="006A48E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152617">
      <w:bodyDiv w:val="1"/>
      <w:marLeft w:val="0"/>
      <w:marRight w:val="0"/>
      <w:marTop w:val="0"/>
      <w:marBottom w:val="0"/>
      <w:divBdr>
        <w:top w:val="none" w:sz="0" w:space="0" w:color="auto"/>
        <w:left w:val="none" w:sz="0" w:space="0" w:color="auto"/>
        <w:bottom w:val="none" w:sz="0" w:space="0" w:color="auto"/>
        <w:right w:val="none" w:sz="0" w:space="0" w:color="auto"/>
      </w:divBdr>
    </w:div>
    <w:div w:id="456605215">
      <w:bodyDiv w:val="1"/>
      <w:marLeft w:val="0"/>
      <w:marRight w:val="0"/>
      <w:marTop w:val="0"/>
      <w:marBottom w:val="0"/>
      <w:divBdr>
        <w:top w:val="none" w:sz="0" w:space="0" w:color="auto"/>
        <w:left w:val="none" w:sz="0" w:space="0" w:color="auto"/>
        <w:bottom w:val="none" w:sz="0" w:space="0" w:color="auto"/>
        <w:right w:val="none" w:sz="0" w:space="0" w:color="auto"/>
      </w:divBdr>
      <w:divsChild>
        <w:div w:id="108403732">
          <w:marLeft w:val="0"/>
          <w:marRight w:val="0"/>
          <w:marTop w:val="0"/>
          <w:marBottom w:val="180"/>
          <w:divBdr>
            <w:top w:val="none" w:sz="0" w:space="0" w:color="auto"/>
            <w:left w:val="none" w:sz="0" w:space="0" w:color="auto"/>
            <w:bottom w:val="none" w:sz="0" w:space="0" w:color="auto"/>
            <w:right w:val="none" w:sz="0" w:space="0" w:color="auto"/>
          </w:divBdr>
        </w:div>
      </w:divsChild>
    </w:div>
    <w:div w:id="637760081">
      <w:bodyDiv w:val="1"/>
      <w:marLeft w:val="0"/>
      <w:marRight w:val="0"/>
      <w:marTop w:val="0"/>
      <w:marBottom w:val="0"/>
      <w:divBdr>
        <w:top w:val="none" w:sz="0" w:space="0" w:color="auto"/>
        <w:left w:val="none" w:sz="0" w:space="0" w:color="auto"/>
        <w:bottom w:val="none" w:sz="0" w:space="0" w:color="auto"/>
        <w:right w:val="none" w:sz="0" w:space="0" w:color="auto"/>
      </w:divBdr>
    </w:div>
    <w:div w:id="684206735">
      <w:bodyDiv w:val="1"/>
      <w:marLeft w:val="0"/>
      <w:marRight w:val="0"/>
      <w:marTop w:val="0"/>
      <w:marBottom w:val="0"/>
      <w:divBdr>
        <w:top w:val="none" w:sz="0" w:space="0" w:color="auto"/>
        <w:left w:val="none" w:sz="0" w:space="0" w:color="auto"/>
        <w:bottom w:val="none" w:sz="0" w:space="0" w:color="auto"/>
        <w:right w:val="none" w:sz="0" w:space="0" w:color="auto"/>
      </w:divBdr>
    </w:div>
    <w:div w:id="759059611">
      <w:bodyDiv w:val="1"/>
      <w:marLeft w:val="0"/>
      <w:marRight w:val="0"/>
      <w:marTop w:val="0"/>
      <w:marBottom w:val="0"/>
      <w:divBdr>
        <w:top w:val="none" w:sz="0" w:space="0" w:color="auto"/>
        <w:left w:val="none" w:sz="0" w:space="0" w:color="auto"/>
        <w:bottom w:val="none" w:sz="0" w:space="0" w:color="auto"/>
        <w:right w:val="none" w:sz="0" w:space="0" w:color="auto"/>
      </w:divBdr>
    </w:div>
    <w:div w:id="760032753">
      <w:bodyDiv w:val="1"/>
      <w:marLeft w:val="0"/>
      <w:marRight w:val="0"/>
      <w:marTop w:val="0"/>
      <w:marBottom w:val="0"/>
      <w:divBdr>
        <w:top w:val="none" w:sz="0" w:space="0" w:color="auto"/>
        <w:left w:val="none" w:sz="0" w:space="0" w:color="auto"/>
        <w:bottom w:val="none" w:sz="0" w:space="0" w:color="auto"/>
        <w:right w:val="none" w:sz="0" w:space="0" w:color="auto"/>
      </w:divBdr>
    </w:div>
    <w:div w:id="974217490">
      <w:bodyDiv w:val="1"/>
      <w:marLeft w:val="0"/>
      <w:marRight w:val="0"/>
      <w:marTop w:val="0"/>
      <w:marBottom w:val="0"/>
      <w:divBdr>
        <w:top w:val="none" w:sz="0" w:space="0" w:color="auto"/>
        <w:left w:val="none" w:sz="0" w:space="0" w:color="auto"/>
        <w:bottom w:val="none" w:sz="0" w:space="0" w:color="auto"/>
        <w:right w:val="none" w:sz="0" w:space="0" w:color="auto"/>
      </w:divBdr>
    </w:div>
    <w:div w:id="1013610210">
      <w:bodyDiv w:val="1"/>
      <w:marLeft w:val="0"/>
      <w:marRight w:val="0"/>
      <w:marTop w:val="0"/>
      <w:marBottom w:val="0"/>
      <w:divBdr>
        <w:top w:val="none" w:sz="0" w:space="0" w:color="auto"/>
        <w:left w:val="none" w:sz="0" w:space="0" w:color="auto"/>
        <w:bottom w:val="none" w:sz="0" w:space="0" w:color="auto"/>
        <w:right w:val="none" w:sz="0" w:space="0" w:color="auto"/>
      </w:divBdr>
    </w:div>
    <w:div w:id="1151825328">
      <w:bodyDiv w:val="1"/>
      <w:marLeft w:val="0"/>
      <w:marRight w:val="0"/>
      <w:marTop w:val="0"/>
      <w:marBottom w:val="0"/>
      <w:divBdr>
        <w:top w:val="none" w:sz="0" w:space="0" w:color="auto"/>
        <w:left w:val="none" w:sz="0" w:space="0" w:color="auto"/>
        <w:bottom w:val="none" w:sz="0" w:space="0" w:color="auto"/>
        <w:right w:val="none" w:sz="0" w:space="0" w:color="auto"/>
      </w:divBdr>
    </w:div>
    <w:div w:id="1285190682">
      <w:bodyDiv w:val="1"/>
      <w:marLeft w:val="0"/>
      <w:marRight w:val="0"/>
      <w:marTop w:val="0"/>
      <w:marBottom w:val="0"/>
      <w:divBdr>
        <w:top w:val="none" w:sz="0" w:space="0" w:color="auto"/>
        <w:left w:val="none" w:sz="0" w:space="0" w:color="auto"/>
        <w:bottom w:val="none" w:sz="0" w:space="0" w:color="auto"/>
        <w:right w:val="none" w:sz="0" w:space="0" w:color="auto"/>
      </w:divBdr>
    </w:div>
    <w:div w:id="1335306771">
      <w:bodyDiv w:val="1"/>
      <w:marLeft w:val="0"/>
      <w:marRight w:val="0"/>
      <w:marTop w:val="0"/>
      <w:marBottom w:val="0"/>
      <w:divBdr>
        <w:top w:val="none" w:sz="0" w:space="0" w:color="auto"/>
        <w:left w:val="none" w:sz="0" w:space="0" w:color="auto"/>
        <w:bottom w:val="none" w:sz="0" w:space="0" w:color="auto"/>
        <w:right w:val="none" w:sz="0" w:space="0" w:color="auto"/>
      </w:divBdr>
    </w:div>
    <w:div w:id="1349023565">
      <w:bodyDiv w:val="1"/>
      <w:marLeft w:val="0"/>
      <w:marRight w:val="0"/>
      <w:marTop w:val="0"/>
      <w:marBottom w:val="0"/>
      <w:divBdr>
        <w:top w:val="none" w:sz="0" w:space="0" w:color="auto"/>
        <w:left w:val="none" w:sz="0" w:space="0" w:color="auto"/>
        <w:bottom w:val="none" w:sz="0" w:space="0" w:color="auto"/>
        <w:right w:val="none" w:sz="0" w:space="0" w:color="auto"/>
      </w:divBdr>
    </w:div>
    <w:div w:id="1394307961">
      <w:bodyDiv w:val="1"/>
      <w:marLeft w:val="0"/>
      <w:marRight w:val="0"/>
      <w:marTop w:val="0"/>
      <w:marBottom w:val="0"/>
      <w:divBdr>
        <w:top w:val="none" w:sz="0" w:space="0" w:color="auto"/>
        <w:left w:val="none" w:sz="0" w:space="0" w:color="auto"/>
        <w:bottom w:val="none" w:sz="0" w:space="0" w:color="auto"/>
        <w:right w:val="none" w:sz="0" w:space="0" w:color="auto"/>
      </w:divBdr>
    </w:div>
    <w:div w:id="1517113467">
      <w:bodyDiv w:val="1"/>
      <w:marLeft w:val="0"/>
      <w:marRight w:val="0"/>
      <w:marTop w:val="0"/>
      <w:marBottom w:val="0"/>
      <w:divBdr>
        <w:top w:val="none" w:sz="0" w:space="0" w:color="auto"/>
        <w:left w:val="none" w:sz="0" w:space="0" w:color="auto"/>
        <w:bottom w:val="none" w:sz="0" w:space="0" w:color="auto"/>
        <w:right w:val="none" w:sz="0" w:space="0" w:color="auto"/>
      </w:divBdr>
    </w:div>
    <w:div w:id="2112890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ncbi.nlm.nih.gov/pmc/articles/PMC6918800/" TargetMode="External"/><Relationship Id="rId21" Type="http://schemas.openxmlformats.org/officeDocument/2006/relationships/hyperlink" Target="https://www.ncbi.nlm.nih.gov/pmc/articles/PMC6918800/" TargetMode="External"/><Relationship Id="rId42" Type="http://schemas.openxmlformats.org/officeDocument/2006/relationships/hyperlink" Target="https://www.ncbi.nlm.nih.gov/pmc/articles/PMC6918800/" TargetMode="External"/><Relationship Id="rId47" Type="http://schemas.openxmlformats.org/officeDocument/2006/relationships/hyperlink" Target="https://www.ncbi.nlm.nih.gov/pmc/articles/PMC6918800/" TargetMode="External"/><Relationship Id="rId63" Type="http://schemas.openxmlformats.org/officeDocument/2006/relationships/hyperlink" Target="https://www.ncbi.nlm.nih.gov/pmc/articles/PMC6918800/" TargetMode="External"/><Relationship Id="rId68" Type="http://schemas.openxmlformats.org/officeDocument/2006/relationships/hyperlink" Target="https://www.ncbi.nlm.nih.gov/pmc/articles/PMC6918800/" TargetMode="External"/><Relationship Id="rId7" Type="http://schemas.openxmlformats.org/officeDocument/2006/relationships/hyperlink" Target="https://www.thermofisher.com/order/catalog/product/4413020" TargetMode="External"/><Relationship Id="rId71"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ncbi.nlm.nih.gov/pmc/articles/PMC6918800/" TargetMode="External"/><Relationship Id="rId29" Type="http://schemas.openxmlformats.org/officeDocument/2006/relationships/hyperlink" Target="https://www.ncbi.nlm.nih.gov/pmc/articles/PMC6918800/" TargetMode="External"/><Relationship Id="rId11" Type="http://schemas.openxmlformats.org/officeDocument/2006/relationships/hyperlink" Target="https://www.ncbi.nlm.nih.gov/pmc/articles/PMC6918800/" TargetMode="External"/><Relationship Id="rId24" Type="http://schemas.openxmlformats.org/officeDocument/2006/relationships/hyperlink" Target="https://www.ncbi.nlm.nih.gov/pmc/articles/PMC6918800/" TargetMode="External"/><Relationship Id="rId32" Type="http://schemas.openxmlformats.org/officeDocument/2006/relationships/hyperlink" Target="https://www.ncbi.nlm.nih.gov/pmc/articles/PMC6918800/" TargetMode="External"/><Relationship Id="rId37" Type="http://schemas.openxmlformats.org/officeDocument/2006/relationships/hyperlink" Target="https://www.ncbi.nlm.nih.gov/pmc/articles/PMC6918800/" TargetMode="External"/><Relationship Id="rId40" Type="http://schemas.openxmlformats.org/officeDocument/2006/relationships/hyperlink" Target="https://www.ncbi.nlm.nih.gov/pmc/articles/PMC6918800/" TargetMode="External"/><Relationship Id="rId45" Type="http://schemas.openxmlformats.org/officeDocument/2006/relationships/hyperlink" Target="https://www.ncbi.nlm.nih.gov/pmc/articles/PMC6918800/" TargetMode="External"/><Relationship Id="rId53" Type="http://schemas.openxmlformats.org/officeDocument/2006/relationships/hyperlink" Target="https://www.ncbi.nlm.nih.gov/pmc/articles/PMC6918800/" TargetMode="External"/><Relationship Id="rId58" Type="http://schemas.openxmlformats.org/officeDocument/2006/relationships/hyperlink" Target="https://www.ncbi.nlm.nih.gov/pmc/articles/PMC6918800/" TargetMode="External"/><Relationship Id="rId66" Type="http://schemas.openxmlformats.org/officeDocument/2006/relationships/hyperlink" Target="https://www.ncbi.nlm.nih.gov/pmc/articles/PMC6918800/" TargetMode="External"/><Relationship Id="rId5" Type="http://schemas.openxmlformats.org/officeDocument/2006/relationships/hyperlink" Target="https://www.thermofisher.com/order/catalog/product/10503027" TargetMode="External"/><Relationship Id="rId61" Type="http://schemas.openxmlformats.org/officeDocument/2006/relationships/hyperlink" Target="https://www.ncbi.nlm.nih.gov/pmc/articles/PMC6918800/" TargetMode="External"/><Relationship Id="rId19" Type="http://schemas.openxmlformats.org/officeDocument/2006/relationships/hyperlink" Target="https://www.ncbi.nlm.nih.gov/pmc/articles/PMC6918800/" TargetMode="External"/><Relationship Id="rId14" Type="http://schemas.openxmlformats.org/officeDocument/2006/relationships/hyperlink" Target="https://www.ncbi.nlm.nih.gov/pmc/articles/PMC6918800/" TargetMode="External"/><Relationship Id="rId22" Type="http://schemas.openxmlformats.org/officeDocument/2006/relationships/hyperlink" Target="https://www.ncbi.nlm.nih.gov/pmc/articles/PMC6918800/" TargetMode="External"/><Relationship Id="rId27" Type="http://schemas.openxmlformats.org/officeDocument/2006/relationships/hyperlink" Target="https://www.ncbi.nlm.nih.gov/pmc/articles/PMC6918800/" TargetMode="External"/><Relationship Id="rId30" Type="http://schemas.openxmlformats.org/officeDocument/2006/relationships/hyperlink" Target="https://www.ncbi.nlm.nih.gov/pmc/articles/PMC6918800/" TargetMode="External"/><Relationship Id="rId35" Type="http://schemas.openxmlformats.org/officeDocument/2006/relationships/hyperlink" Target="https://www.ncbi.nlm.nih.gov/pmc/articles/PMC6918800/" TargetMode="External"/><Relationship Id="rId43" Type="http://schemas.openxmlformats.org/officeDocument/2006/relationships/hyperlink" Target="https://www.ncbi.nlm.nih.gov/pmc/articles/PMC6918800/" TargetMode="External"/><Relationship Id="rId48" Type="http://schemas.openxmlformats.org/officeDocument/2006/relationships/hyperlink" Target="https://www.ncbi.nlm.nih.gov/pmc/articles/PMC6918800/" TargetMode="External"/><Relationship Id="rId56" Type="http://schemas.openxmlformats.org/officeDocument/2006/relationships/hyperlink" Target="https://www.ncbi.nlm.nih.gov/pmc/articles/PMC6918800/" TargetMode="External"/><Relationship Id="rId64" Type="http://schemas.openxmlformats.org/officeDocument/2006/relationships/hyperlink" Target="https://www.ncbi.nlm.nih.gov/pmc/articles/PMC6918800/" TargetMode="External"/><Relationship Id="rId69" Type="http://schemas.openxmlformats.org/officeDocument/2006/relationships/hyperlink" Target="https://www.sciencedirect.com/topics/food-science/gas-chromatography" TargetMode="External"/><Relationship Id="rId8" Type="http://schemas.openxmlformats.org/officeDocument/2006/relationships/hyperlink" Target="https://opsdiagnostics.com/notes/protocols/ctab_protocol_for_plants.htm" TargetMode="External"/><Relationship Id="rId51" Type="http://schemas.openxmlformats.org/officeDocument/2006/relationships/hyperlink" Target="https://www.ncbi.nlm.nih.gov/pmc/articles/PMC6918800/" TargetMode="External"/><Relationship Id="rId72"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www.ncbi.nlm.nih.gov/pmc/articles/PMC6918800/" TargetMode="External"/><Relationship Id="rId17" Type="http://schemas.openxmlformats.org/officeDocument/2006/relationships/hyperlink" Target="https://www.ncbi.nlm.nih.gov/pmc/articles/PMC6918800/" TargetMode="External"/><Relationship Id="rId25" Type="http://schemas.openxmlformats.org/officeDocument/2006/relationships/hyperlink" Target="https://www.ncbi.nlm.nih.gov/pmc/articles/PMC6918800/" TargetMode="External"/><Relationship Id="rId33" Type="http://schemas.openxmlformats.org/officeDocument/2006/relationships/hyperlink" Target="https://www.ncbi.nlm.nih.gov/pmc/articles/PMC6918800/" TargetMode="External"/><Relationship Id="rId38" Type="http://schemas.openxmlformats.org/officeDocument/2006/relationships/hyperlink" Target="https://www.ncbi.nlm.nih.gov/pmc/articles/PMC6918800/" TargetMode="External"/><Relationship Id="rId46" Type="http://schemas.openxmlformats.org/officeDocument/2006/relationships/hyperlink" Target="https://www.ncbi.nlm.nih.gov/pmc/articles/PMC6918800/" TargetMode="External"/><Relationship Id="rId59" Type="http://schemas.openxmlformats.org/officeDocument/2006/relationships/hyperlink" Target="https://www.ncbi.nlm.nih.gov/pmc/articles/PMC6918800/" TargetMode="External"/><Relationship Id="rId67" Type="http://schemas.openxmlformats.org/officeDocument/2006/relationships/hyperlink" Target="https://www.ncbi.nlm.nih.gov/pmc/articles/PMC6918800/" TargetMode="External"/><Relationship Id="rId20" Type="http://schemas.openxmlformats.org/officeDocument/2006/relationships/hyperlink" Target="https://www.ncbi.nlm.nih.gov/pmc/articles/PMC6918800/" TargetMode="External"/><Relationship Id="rId41" Type="http://schemas.openxmlformats.org/officeDocument/2006/relationships/hyperlink" Target="https://www.ncbi.nlm.nih.gov/pmc/articles/PMC6918800/" TargetMode="External"/><Relationship Id="rId54" Type="http://schemas.openxmlformats.org/officeDocument/2006/relationships/hyperlink" Target="https://www.ncbi.nlm.nih.gov/pmc/articles/PMC6918800/" TargetMode="External"/><Relationship Id="rId62" Type="http://schemas.openxmlformats.org/officeDocument/2006/relationships/hyperlink" Target="https://www.ncbi.nlm.nih.gov/pmc/articles/PMC6918800/" TargetMode="External"/><Relationship Id="rId70" Type="http://schemas.openxmlformats.org/officeDocument/2006/relationships/hyperlink" Target="https://www.sciencedirect.com/topics/biochemistry-genetics-and-molecular-biology/high-performance-liquid-chromatography" TargetMode="External"/><Relationship Id="rId1" Type="http://schemas.openxmlformats.org/officeDocument/2006/relationships/numbering" Target="numbering.xml"/><Relationship Id="rId6" Type="http://schemas.openxmlformats.org/officeDocument/2006/relationships/hyperlink" Target="https://www.thermofisher.com/order/catalog/product/K182002" TargetMode="External"/><Relationship Id="rId15" Type="http://schemas.openxmlformats.org/officeDocument/2006/relationships/hyperlink" Target="https://www.ncbi.nlm.nih.gov/pmc/articles/PMC6918800/" TargetMode="External"/><Relationship Id="rId23" Type="http://schemas.openxmlformats.org/officeDocument/2006/relationships/hyperlink" Target="https://www.ncbi.nlm.nih.gov/pmc/articles/PMC6918800/" TargetMode="External"/><Relationship Id="rId28" Type="http://schemas.openxmlformats.org/officeDocument/2006/relationships/hyperlink" Target="https://www.ncbi.nlm.nih.gov/pmc/articles/PMC6918800/" TargetMode="External"/><Relationship Id="rId36" Type="http://schemas.openxmlformats.org/officeDocument/2006/relationships/hyperlink" Target="https://www.ncbi.nlm.nih.gov/pmc/articles/PMC6918800/" TargetMode="External"/><Relationship Id="rId49" Type="http://schemas.openxmlformats.org/officeDocument/2006/relationships/hyperlink" Target="https://www.ncbi.nlm.nih.gov/pmc/articles/PMC6918800/" TargetMode="External"/><Relationship Id="rId57" Type="http://schemas.openxmlformats.org/officeDocument/2006/relationships/hyperlink" Target="https://www.ncbi.nlm.nih.gov/pmc/articles/PMC6918800/" TargetMode="External"/><Relationship Id="rId10" Type="http://schemas.openxmlformats.org/officeDocument/2006/relationships/hyperlink" Target="https://opsdiagnostics.com/notes/protocols/spin_column_plant_protocol.html" TargetMode="External"/><Relationship Id="rId31" Type="http://schemas.openxmlformats.org/officeDocument/2006/relationships/hyperlink" Target="https://www.ncbi.nlm.nih.gov/pmc/articles/PMC6918800/" TargetMode="External"/><Relationship Id="rId44" Type="http://schemas.openxmlformats.org/officeDocument/2006/relationships/hyperlink" Target="https://www.ncbi.nlm.nih.gov/pmc/articles/PMC6918800/" TargetMode="External"/><Relationship Id="rId52" Type="http://schemas.openxmlformats.org/officeDocument/2006/relationships/hyperlink" Target="https://www.ncbi.nlm.nih.gov/pmc/articles/PMC6918800/" TargetMode="External"/><Relationship Id="rId60" Type="http://schemas.openxmlformats.org/officeDocument/2006/relationships/hyperlink" Target="https://www.ncbi.nlm.nih.gov/pmc/articles/PMC6918800/" TargetMode="External"/><Relationship Id="rId65" Type="http://schemas.openxmlformats.org/officeDocument/2006/relationships/hyperlink" Target="https://www.ncbi.nlm.nih.gov/pmc/articles/PMC6918800/" TargetMode="External"/><Relationship Id="rId4" Type="http://schemas.openxmlformats.org/officeDocument/2006/relationships/webSettings" Target="webSettings.xml"/><Relationship Id="rId9" Type="http://schemas.openxmlformats.org/officeDocument/2006/relationships/hyperlink" Target="https://opsdiagnostics.com/notes/protocols/ctab_protocol_for_plants.htm" TargetMode="External"/><Relationship Id="rId13" Type="http://schemas.openxmlformats.org/officeDocument/2006/relationships/hyperlink" Target="https://www.ncbi.nlm.nih.gov/pmc/articles/PMC6918800/" TargetMode="External"/><Relationship Id="rId18" Type="http://schemas.openxmlformats.org/officeDocument/2006/relationships/hyperlink" Target="https://www.ncbi.nlm.nih.gov/pmc/articles/PMC6918800/" TargetMode="External"/><Relationship Id="rId39" Type="http://schemas.openxmlformats.org/officeDocument/2006/relationships/hyperlink" Target="https://www.ncbi.nlm.nih.gov/pmc/articles/PMC6918800/" TargetMode="External"/><Relationship Id="rId34" Type="http://schemas.openxmlformats.org/officeDocument/2006/relationships/hyperlink" Target="https://www.ncbi.nlm.nih.gov/pmc/articles/PMC6918800/" TargetMode="External"/><Relationship Id="rId50" Type="http://schemas.openxmlformats.org/officeDocument/2006/relationships/hyperlink" Target="https://www.ncbi.nlm.nih.gov/pmc/articles/PMC6918800/" TargetMode="External"/><Relationship Id="rId55" Type="http://schemas.openxmlformats.org/officeDocument/2006/relationships/hyperlink" Target="https://www.ncbi.nlm.nih.gov/pmc/articles/PMC69188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11</Pages>
  <Words>6030</Words>
  <Characters>34377</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dc:creator>
  <cp:keywords/>
  <dc:description/>
  <cp:lastModifiedBy>KS </cp:lastModifiedBy>
  <cp:revision>10</cp:revision>
  <dcterms:created xsi:type="dcterms:W3CDTF">2022-09-07T09:23:00Z</dcterms:created>
  <dcterms:modified xsi:type="dcterms:W3CDTF">2022-09-10T13:48:00Z</dcterms:modified>
</cp:coreProperties>
</file>